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79070" w14:textId="77777777" w:rsidR="00D229E2" w:rsidRPr="00495073" w:rsidRDefault="00D229E2">
      <w:pPr>
        <w:rPr>
          <w:rFonts w:ascii="Times New Roman" w:hAnsi="Times New Roman" w:cs="Times New Roman"/>
        </w:rPr>
      </w:pPr>
    </w:p>
    <w:p w14:paraId="3B8D1451" w14:textId="77777777" w:rsidR="00D229E2" w:rsidRDefault="00D229E2"/>
    <w:p w14:paraId="7C89D329" w14:textId="3575A462" w:rsidR="00D229E2" w:rsidRDefault="00D229E2" w:rsidP="00D229E2">
      <w:pPr>
        <w:jc w:val="center"/>
        <w:rPr>
          <w:rFonts w:ascii="Times New Roman" w:hAnsi="Times New Roman" w:cs="Times New Roman"/>
          <w:b/>
          <w:bCs/>
          <w:sz w:val="28"/>
          <w:szCs w:val="28"/>
        </w:rPr>
      </w:pPr>
      <w:r w:rsidRPr="00D229E2">
        <w:rPr>
          <w:rFonts w:ascii="Times New Roman" w:hAnsi="Times New Roman" w:cs="Times New Roman"/>
          <w:b/>
          <w:bCs/>
          <w:sz w:val="28"/>
          <w:szCs w:val="28"/>
        </w:rPr>
        <w:t>HUBUNGAN KEPATUHAN TERHADAP KUALITAS HIDUP PASIEN GAGAL GINJAL KRONIK YANG MENJALANI TERAPI HEMODIALISA DI RS BHINA BHAKTI HUSADA REMBANG</w:t>
      </w:r>
    </w:p>
    <w:p w14:paraId="55C2CDE4" w14:textId="5730A543" w:rsidR="0054149D" w:rsidRDefault="002C5E8F" w:rsidP="009C723F">
      <w:pPr>
        <w:spacing w:line="240" w:lineRule="auto"/>
        <w:jc w:val="center"/>
        <w:rPr>
          <w:rFonts w:ascii="Times New Roman" w:hAnsi="Times New Roman" w:cs="Times New Roman"/>
          <w:vertAlign w:val="superscript"/>
        </w:rPr>
      </w:pPr>
      <w:r>
        <w:rPr>
          <w:rFonts w:ascii="Times New Roman" w:hAnsi="Times New Roman" w:cs="Times New Roman"/>
          <w:sz w:val="28"/>
          <w:szCs w:val="28"/>
        </w:rPr>
        <w:t xml:space="preserve">Noor </w:t>
      </w:r>
      <w:proofErr w:type="spellStart"/>
      <w:r>
        <w:rPr>
          <w:rFonts w:ascii="Times New Roman" w:hAnsi="Times New Roman" w:cs="Times New Roman"/>
          <w:sz w:val="28"/>
          <w:szCs w:val="28"/>
        </w:rPr>
        <w:t>faidah</w:t>
      </w:r>
      <w:proofErr w:type="spellEnd"/>
      <w:r w:rsidR="008D5A24">
        <w:rPr>
          <w:rFonts w:ascii="Times New Roman" w:hAnsi="Times New Roman" w:cs="Times New Roman"/>
          <w:sz w:val="28"/>
          <w:szCs w:val="28"/>
        </w:rPr>
        <w:t xml:space="preserve"> </w:t>
      </w:r>
      <w:r w:rsidR="008D5A24" w:rsidRPr="008D5A24">
        <w:rPr>
          <w:rFonts w:ascii="Times New Roman" w:hAnsi="Times New Roman" w:cs="Times New Roman"/>
          <w:vertAlign w:val="superscript"/>
        </w:rPr>
        <w:t>1</w:t>
      </w:r>
      <w:r w:rsidR="008D5A24">
        <w:rPr>
          <w:rFonts w:ascii="Times New Roman" w:hAnsi="Times New Roman" w:cs="Times New Roman"/>
          <w:vertAlign w:val="superscript"/>
        </w:rPr>
        <w:t xml:space="preserve"> </w:t>
      </w:r>
      <w:r w:rsidR="008D5A24">
        <w:rPr>
          <w:rFonts w:ascii="Times New Roman" w:hAnsi="Times New Roman" w:cs="Times New Roman"/>
        </w:rPr>
        <w:t xml:space="preserve">, </w:t>
      </w:r>
      <w:r>
        <w:rPr>
          <w:rFonts w:ascii="Times New Roman" w:hAnsi="Times New Roman" w:cs="Times New Roman"/>
        </w:rPr>
        <w:t>Laili Nur Azizah</w:t>
      </w:r>
      <w:r w:rsidR="008D5A24">
        <w:rPr>
          <w:rFonts w:ascii="Times New Roman" w:hAnsi="Times New Roman" w:cs="Times New Roman"/>
        </w:rPr>
        <w:t xml:space="preserve"> </w:t>
      </w:r>
      <w:r w:rsidR="008D5A24" w:rsidRPr="008D5A24">
        <w:rPr>
          <w:rFonts w:ascii="Times New Roman" w:hAnsi="Times New Roman" w:cs="Times New Roman"/>
          <w:vertAlign w:val="superscript"/>
        </w:rPr>
        <w:t>2</w:t>
      </w:r>
      <w:r w:rsidR="008D5A24">
        <w:rPr>
          <w:rFonts w:ascii="Times New Roman" w:hAnsi="Times New Roman" w:cs="Times New Roman"/>
        </w:rPr>
        <w:t xml:space="preserve"> , </w:t>
      </w:r>
      <w:proofErr w:type="spellStart"/>
      <w:r w:rsidR="008D5A24">
        <w:rPr>
          <w:rFonts w:ascii="Times New Roman" w:hAnsi="Times New Roman" w:cs="Times New Roman"/>
        </w:rPr>
        <w:t>Luluk</w:t>
      </w:r>
      <w:proofErr w:type="spellEnd"/>
      <w:r w:rsidR="008D5A24">
        <w:rPr>
          <w:rFonts w:ascii="Times New Roman" w:hAnsi="Times New Roman" w:cs="Times New Roman"/>
        </w:rPr>
        <w:t xml:space="preserve"> </w:t>
      </w:r>
      <w:proofErr w:type="spellStart"/>
      <w:r w:rsidR="008D5A24" w:rsidRPr="008D5A24">
        <w:rPr>
          <w:rFonts w:ascii="Times New Roman" w:hAnsi="Times New Roman" w:cs="Times New Roman"/>
        </w:rPr>
        <w:t>Cahyanti</w:t>
      </w:r>
      <w:proofErr w:type="spellEnd"/>
      <w:r w:rsidR="008D5A24">
        <w:rPr>
          <w:rFonts w:ascii="Times New Roman" w:hAnsi="Times New Roman" w:cs="Times New Roman"/>
        </w:rPr>
        <w:t xml:space="preserve"> </w:t>
      </w:r>
      <w:r w:rsidR="008D5A24" w:rsidRPr="008D5A24">
        <w:rPr>
          <w:rFonts w:ascii="Times New Roman" w:hAnsi="Times New Roman" w:cs="Times New Roman"/>
          <w:vertAlign w:val="superscript"/>
        </w:rPr>
        <w:t>3</w:t>
      </w:r>
    </w:p>
    <w:p w14:paraId="3DFBBA12" w14:textId="336F23AD" w:rsidR="00C92917" w:rsidRDefault="00C92917" w:rsidP="009C723F">
      <w:pPr>
        <w:spacing w:line="240" w:lineRule="auto"/>
        <w:jc w:val="center"/>
        <w:rPr>
          <w:rFonts w:ascii="Times New Roman" w:hAnsi="Times New Roman" w:cs="Times New Roman"/>
        </w:rPr>
      </w:pPr>
      <w:proofErr w:type="spellStart"/>
      <w:r>
        <w:rPr>
          <w:rFonts w:ascii="Times New Roman" w:hAnsi="Times New Roman" w:cs="Times New Roman"/>
        </w:rPr>
        <w:t>Mahasiswa</w:t>
      </w:r>
      <w:proofErr w:type="spellEnd"/>
      <w:r>
        <w:rPr>
          <w:rFonts w:ascii="Times New Roman" w:hAnsi="Times New Roman" w:cs="Times New Roman"/>
        </w:rPr>
        <w:t xml:space="preserve"> program Studi </w:t>
      </w:r>
      <w:proofErr w:type="spellStart"/>
      <w:r>
        <w:rPr>
          <w:rFonts w:ascii="Times New Roman" w:hAnsi="Times New Roman" w:cs="Times New Roman"/>
        </w:rPr>
        <w:t>Ilmu</w:t>
      </w:r>
      <w:proofErr w:type="spellEnd"/>
      <w:r>
        <w:rPr>
          <w:rFonts w:ascii="Times New Roman" w:hAnsi="Times New Roman" w:cs="Times New Roman"/>
        </w:rPr>
        <w:t xml:space="preserve"> </w:t>
      </w:r>
      <w:proofErr w:type="spellStart"/>
      <w:r>
        <w:rPr>
          <w:rFonts w:ascii="Times New Roman" w:hAnsi="Times New Roman" w:cs="Times New Roman"/>
        </w:rPr>
        <w:t>Keperawatan</w:t>
      </w:r>
      <w:proofErr w:type="spellEnd"/>
      <w:r>
        <w:rPr>
          <w:rFonts w:ascii="Times New Roman" w:hAnsi="Times New Roman" w:cs="Times New Roman"/>
        </w:rPr>
        <w:t xml:space="preserve"> </w:t>
      </w:r>
      <w:r w:rsidRPr="00C92917">
        <w:rPr>
          <w:rFonts w:ascii="Times New Roman" w:hAnsi="Times New Roman" w:cs="Times New Roman"/>
          <w:vertAlign w:val="superscript"/>
        </w:rPr>
        <w:t>1</w:t>
      </w:r>
      <w:r>
        <w:rPr>
          <w:rFonts w:ascii="Times New Roman" w:hAnsi="Times New Roman" w:cs="Times New Roman"/>
        </w:rPr>
        <w:t xml:space="preserve">, Dosen Program Studi </w:t>
      </w:r>
      <w:proofErr w:type="spellStart"/>
      <w:r>
        <w:rPr>
          <w:rFonts w:ascii="Times New Roman" w:hAnsi="Times New Roman" w:cs="Times New Roman"/>
        </w:rPr>
        <w:t>Profesi</w:t>
      </w:r>
      <w:proofErr w:type="spellEnd"/>
      <w:r>
        <w:rPr>
          <w:rFonts w:ascii="Times New Roman" w:hAnsi="Times New Roman" w:cs="Times New Roman"/>
        </w:rPr>
        <w:t xml:space="preserve"> </w:t>
      </w:r>
      <w:proofErr w:type="spellStart"/>
      <w:r>
        <w:rPr>
          <w:rFonts w:ascii="Times New Roman" w:hAnsi="Times New Roman" w:cs="Times New Roman"/>
        </w:rPr>
        <w:t>Ners</w:t>
      </w:r>
      <w:proofErr w:type="spellEnd"/>
      <w:r>
        <w:rPr>
          <w:rFonts w:ascii="Times New Roman" w:hAnsi="Times New Roman" w:cs="Times New Roman"/>
        </w:rPr>
        <w:t xml:space="preserve"> </w:t>
      </w:r>
      <w:r w:rsidRPr="0054149D">
        <w:rPr>
          <w:rFonts w:ascii="Times New Roman" w:hAnsi="Times New Roman" w:cs="Times New Roman"/>
          <w:vertAlign w:val="superscript"/>
        </w:rPr>
        <w:t>2</w:t>
      </w:r>
      <w:r w:rsidR="0054149D">
        <w:rPr>
          <w:rFonts w:ascii="Times New Roman" w:hAnsi="Times New Roman" w:cs="Times New Roman"/>
        </w:rPr>
        <w:t xml:space="preserve">, Program Studi </w:t>
      </w:r>
      <w:proofErr w:type="spellStart"/>
      <w:r w:rsidR="0054149D">
        <w:rPr>
          <w:rFonts w:ascii="Times New Roman" w:hAnsi="Times New Roman" w:cs="Times New Roman"/>
        </w:rPr>
        <w:t>Ners</w:t>
      </w:r>
      <w:proofErr w:type="spellEnd"/>
      <w:r w:rsidR="0054149D">
        <w:rPr>
          <w:rFonts w:ascii="Times New Roman" w:hAnsi="Times New Roman" w:cs="Times New Roman"/>
        </w:rPr>
        <w:t xml:space="preserve"> </w:t>
      </w:r>
      <w:r w:rsidR="0054149D" w:rsidRPr="0054149D">
        <w:rPr>
          <w:rFonts w:ascii="Times New Roman" w:hAnsi="Times New Roman" w:cs="Times New Roman"/>
          <w:vertAlign w:val="superscript"/>
        </w:rPr>
        <w:t>3</w:t>
      </w:r>
      <w:r w:rsidR="0054149D">
        <w:rPr>
          <w:rFonts w:ascii="Times New Roman" w:hAnsi="Times New Roman" w:cs="Times New Roman"/>
          <w:vertAlign w:val="superscript"/>
        </w:rPr>
        <w:t xml:space="preserve"> </w:t>
      </w:r>
      <w:r w:rsidR="0054149D">
        <w:rPr>
          <w:rFonts w:ascii="Times New Roman" w:hAnsi="Times New Roman" w:cs="Times New Roman"/>
        </w:rPr>
        <w:t xml:space="preserve">ITEKES </w:t>
      </w:r>
      <w:proofErr w:type="spellStart"/>
      <w:r w:rsidR="0054149D">
        <w:rPr>
          <w:rFonts w:ascii="Times New Roman" w:hAnsi="Times New Roman" w:cs="Times New Roman"/>
        </w:rPr>
        <w:t>Cendekia</w:t>
      </w:r>
      <w:proofErr w:type="spellEnd"/>
      <w:r w:rsidR="0054149D">
        <w:rPr>
          <w:rFonts w:ascii="Times New Roman" w:hAnsi="Times New Roman" w:cs="Times New Roman"/>
        </w:rPr>
        <w:t xml:space="preserve"> Utama Kudus</w:t>
      </w:r>
    </w:p>
    <w:p w14:paraId="2CE1B488" w14:textId="2D983724" w:rsidR="0054149D" w:rsidRDefault="0054149D" w:rsidP="009C723F">
      <w:pPr>
        <w:spacing w:line="240" w:lineRule="auto"/>
        <w:jc w:val="center"/>
        <w:rPr>
          <w:rFonts w:ascii="Times New Roman" w:hAnsi="Times New Roman" w:cs="Times New Roman"/>
        </w:rPr>
      </w:pPr>
      <w:r>
        <w:rPr>
          <w:rFonts w:ascii="Times New Roman" w:hAnsi="Times New Roman" w:cs="Times New Roman"/>
        </w:rPr>
        <w:t xml:space="preserve">Jl. </w:t>
      </w:r>
      <w:proofErr w:type="spellStart"/>
      <w:r>
        <w:rPr>
          <w:rFonts w:ascii="Times New Roman" w:hAnsi="Times New Roman" w:cs="Times New Roman"/>
        </w:rPr>
        <w:t>Lingkar</w:t>
      </w:r>
      <w:proofErr w:type="spellEnd"/>
      <w:r>
        <w:rPr>
          <w:rFonts w:ascii="Times New Roman" w:hAnsi="Times New Roman" w:cs="Times New Roman"/>
        </w:rPr>
        <w:t xml:space="preserve"> Raya Kudus-Pati KM 5 </w:t>
      </w:r>
      <w:proofErr w:type="spellStart"/>
      <w:r>
        <w:rPr>
          <w:rFonts w:ascii="Times New Roman" w:hAnsi="Times New Roman" w:cs="Times New Roman"/>
        </w:rPr>
        <w:t>Jepang</w:t>
      </w:r>
      <w:proofErr w:type="spellEnd"/>
      <w:r>
        <w:rPr>
          <w:rFonts w:ascii="Times New Roman" w:hAnsi="Times New Roman" w:cs="Times New Roman"/>
        </w:rPr>
        <w:t xml:space="preserve"> </w:t>
      </w:r>
      <w:proofErr w:type="spellStart"/>
      <w:r>
        <w:rPr>
          <w:rFonts w:ascii="Times New Roman" w:hAnsi="Times New Roman" w:cs="Times New Roman"/>
        </w:rPr>
        <w:t>Kecamatan</w:t>
      </w:r>
      <w:proofErr w:type="spellEnd"/>
      <w:r>
        <w:rPr>
          <w:rFonts w:ascii="Times New Roman" w:hAnsi="Times New Roman" w:cs="Times New Roman"/>
        </w:rPr>
        <w:t xml:space="preserve"> </w:t>
      </w:r>
      <w:proofErr w:type="spellStart"/>
      <w:proofErr w:type="gramStart"/>
      <w:r>
        <w:rPr>
          <w:rFonts w:ascii="Times New Roman" w:hAnsi="Times New Roman" w:cs="Times New Roman"/>
        </w:rPr>
        <w:t>Mejobo</w:t>
      </w:r>
      <w:proofErr w:type="spellEnd"/>
      <w:r>
        <w:rPr>
          <w:rFonts w:ascii="Times New Roman" w:hAnsi="Times New Roman" w:cs="Times New Roman"/>
        </w:rPr>
        <w:t xml:space="preserve"> ,</w:t>
      </w:r>
      <w:proofErr w:type="gramEnd"/>
      <w:r>
        <w:rPr>
          <w:rFonts w:ascii="Times New Roman" w:hAnsi="Times New Roman" w:cs="Times New Roman"/>
        </w:rPr>
        <w:t xml:space="preserve"> Kudus 59311</w:t>
      </w:r>
    </w:p>
    <w:p w14:paraId="57855332" w14:textId="12F61322" w:rsidR="0054149D" w:rsidRDefault="0054149D" w:rsidP="009C723F">
      <w:pPr>
        <w:spacing w:line="240" w:lineRule="auto"/>
        <w:jc w:val="center"/>
        <w:rPr>
          <w:rFonts w:ascii="Times New Roman" w:hAnsi="Times New Roman" w:cs="Times New Roman"/>
        </w:rPr>
      </w:pPr>
      <w:proofErr w:type="gramStart"/>
      <w:r>
        <w:rPr>
          <w:rFonts w:ascii="Times New Roman" w:hAnsi="Times New Roman" w:cs="Times New Roman"/>
        </w:rPr>
        <w:t>Emai :</w:t>
      </w:r>
      <w:proofErr w:type="gramEnd"/>
      <w:r>
        <w:rPr>
          <w:rFonts w:ascii="Times New Roman" w:hAnsi="Times New Roman" w:cs="Times New Roman"/>
        </w:rPr>
        <w:t xml:space="preserve"> </w:t>
      </w:r>
      <w:hyperlink r:id="rId5" w:history="1">
        <w:r w:rsidR="009C723F" w:rsidRPr="00527838">
          <w:rPr>
            <w:rStyle w:val="Hyperlink"/>
            <w:rFonts w:ascii="Times New Roman" w:hAnsi="Times New Roman" w:cs="Times New Roman"/>
          </w:rPr>
          <w:t>Lailinurazizah58@gmail.com</w:t>
        </w:r>
      </w:hyperlink>
    </w:p>
    <w:p w14:paraId="7E1D83B5" w14:textId="77777777" w:rsidR="009C723F" w:rsidRDefault="009C723F" w:rsidP="009C723F">
      <w:pPr>
        <w:spacing w:line="240" w:lineRule="auto"/>
        <w:jc w:val="center"/>
        <w:rPr>
          <w:rFonts w:ascii="Times New Roman" w:hAnsi="Times New Roman" w:cs="Times New Roman"/>
        </w:rPr>
      </w:pPr>
    </w:p>
    <w:p w14:paraId="4FE68D50" w14:textId="0F23B2FE" w:rsidR="009C723F" w:rsidRDefault="009C723F" w:rsidP="00090A70">
      <w:pPr>
        <w:spacing w:line="240" w:lineRule="auto"/>
        <w:jc w:val="center"/>
        <w:rPr>
          <w:rFonts w:ascii="Times New Roman" w:hAnsi="Times New Roman" w:cs="Times New Roman"/>
          <w:b/>
          <w:bCs/>
        </w:rPr>
      </w:pPr>
      <w:r>
        <w:rPr>
          <w:rFonts w:ascii="Times New Roman" w:hAnsi="Times New Roman" w:cs="Times New Roman"/>
          <w:b/>
          <w:bCs/>
        </w:rPr>
        <w:t>ABSTRAK</w:t>
      </w:r>
    </w:p>
    <w:p w14:paraId="07F654B1" w14:textId="77777777" w:rsidR="004D44D2" w:rsidRDefault="00090A70" w:rsidP="007C270E">
      <w:pPr>
        <w:spacing w:line="240" w:lineRule="auto"/>
        <w:jc w:val="both"/>
        <w:rPr>
          <w:rFonts w:ascii="Times New Roman" w:hAnsi="Times New Roman" w:cs="Times New Roman"/>
        </w:rPr>
      </w:pPr>
      <w:r w:rsidRPr="00090A70">
        <w:rPr>
          <w:rFonts w:ascii="Times New Roman" w:hAnsi="Times New Roman" w:cs="Times New Roman"/>
          <w:b/>
          <w:bCs/>
        </w:rPr>
        <w:t xml:space="preserve">Latar </w:t>
      </w:r>
      <w:proofErr w:type="spellStart"/>
      <w:proofErr w:type="gramStart"/>
      <w:r w:rsidRPr="00090A70">
        <w:rPr>
          <w:rFonts w:ascii="Times New Roman" w:hAnsi="Times New Roman" w:cs="Times New Roman"/>
          <w:b/>
          <w:bCs/>
        </w:rPr>
        <w:t>Belakang</w:t>
      </w:r>
      <w:proofErr w:type="spellEnd"/>
      <w:r w:rsidR="007C270E">
        <w:rPr>
          <w:rFonts w:ascii="Times New Roman" w:hAnsi="Times New Roman" w:cs="Times New Roman"/>
          <w:b/>
          <w:bCs/>
        </w:rPr>
        <w:t xml:space="preserve"> </w:t>
      </w:r>
      <w:r w:rsidR="007C270E" w:rsidRPr="007C270E">
        <w:rPr>
          <w:rFonts w:ascii="Times New Roman" w:hAnsi="Times New Roman" w:cs="Times New Roman"/>
          <w:b/>
          <w:bCs/>
        </w:rPr>
        <w:t>:</w:t>
      </w:r>
      <w:proofErr w:type="gramEnd"/>
      <w:r w:rsidR="007C270E" w:rsidRPr="007C270E">
        <w:rPr>
          <w:rFonts w:ascii="Times New Roman" w:hAnsi="Times New Roman" w:cs="Times New Roman"/>
          <w:b/>
          <w:bCs/>
        </w:rPr>
        <w:t xml:space="preserve"> </w:t>
      </w:r>
      <w:proofErr w:type="spellStart"/>
      <w:r w:rsidR="007C270E" w:rsidRPr="007C270E">
        <w:rPr>
          <w:rFonts w:ascii="Times New Roman" w:hAnsi="Times New Roman" w:cs="Times New Roman"/>
        </w:rPr>
        <w:t>Pasien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dengan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gagal</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ginjal</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kronik</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memerlukan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terapi</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hemodialisis</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secara</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teratur</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untuk</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mempertahankan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kualitas</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hidup</w:t>
      </w:r>
      <w:proofErr w:type="spellEnd"/>
      <w:r w:rsidR="007C270E" w:rsidRPr="007C270E">
        <w:rPr>
          <w:rFonts w:ascii="Times New Roman" w:hAnsi="Times New Roman" w:cs="Times New Roman"/>
        </w:rPr>
        <w:t xml:space="preserve">. Tingkat </w:t>
      </w:r>
      <w:proofErr w:type="spellStart"/>
      <w:r w:rsidR="007C270E" w:rsidRPr="007C270E">
        <w:rPr>
          <w:rFonts w:ascii="Times New Roman" w:hAnsi="Times New Roman" w:cs="Times New Roman"/>
        </w:rPr>
        <w:t>kepatuhan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dalam</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menjalani</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terapi</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ini</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menjadi</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faktor</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penting</w:t>
      </w:r>
      <w:proofErr w:type="spellEnd"/>
      <w:r w:rsidR="007C270E" w:rsidRPr="007C270E">
        <w:rPr>
          <w:rFonts w:ascii="Times New Roman" w:hAnsi="Times New Roman" w:cs="Times New Roman"/>
        </w:rPr>
        <w:t xml:space="preserve"> yang </w:t>
      </w:r>
      <w:proofErr w:type="spellStart"/>
      <w:r w:rsidR="007C270E" w:rsidRPr="007C270E">
        <w:rPr>
          <w:rFonts w:ascii="Times New Roman" w:hAnsi="Times New Roman" w:cs="Times New Roman"/>
        </w:rPr>
        <w:t>berpengaruh</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terhadap</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keberhasilan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pengobatan</w:t>
      </w:r>
      <w:proofErr w:type="spellEnd"/>
      <w:r w:rsidR="007C270E" w:rsidRPr="007C270E">
        <w:rPr>
          <w:rFonts w:ascii="Times New Roman" w:hAnsi="Times New Roman" w:cs="Times New Roman"/>
        </w:rPr>
        <w:t xml:space="preserve"> dan </w:t>
      </w:r>
      <w:proofErr w:type="spellStart"/>
      <w:r w:rsidR="007C270E" w:rsidRPr="007C270E">
        <w:rPr>
          <w:rFonts w:ascii="Times New Roman" w:hAnsi="Times New Roman" w:cs="Times New Roman"/>
        </w:rPr>
        <w:t>kesejahteraan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pasien</w:t>
      </w:r>
      <w:proofErr w:type="spellEnd"/>
      <w:r w:rsidR="007C270E" w:rsidRPr="007C270E">
        <w:rPr>
          <w:rFonts w:ascii="Times New Roman" w:hAnsi="Times New Roman" w:cs="Times New Roman"/>
        </w:rPr>
        <w:t>.</w:t>
      </w:r>
      <w:r w:rsidR="007C270E" w:rsidRPr="007C270E">
        <w:rPr>
          <w:rFonts w:ascii="Times New Roman" w:hAnsi="Times New Roman" w:cs="Times New Roman"/>
          <w:b/>
          <w:bCs/>
        </w:rPr>
        <w:br/>
        <w:t xml:space="preserve">Tujuan: </w:t>
      </w:r>
      <w:proofErr w:type="spellStart"/>
      <w:r w:rsidR="007C270E" w:rsidRPr="007C270E">
        <w:rPr>
          <w:rFonts w:ascii="Times New Roman" w:hAnsi="Times New Roman" w:cs="Times New Roman"/>
        </w:rPr>
        <w:t>Penelitian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ini</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bertujuan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menganalisis</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hubungan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antara</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kepatuhan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menjalani</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hemodialisis</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dengan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kualitas</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hidup</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pasien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gagal</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ginjal</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kronik</w:t>
      </w:r>
      <w:proofErr w:type="spellEnd"/>
      <w:r w:rsidR="007C270E" w:rsidRPr="007C270E">
        <w:rPr>
          <w:rFonts w:ascii="Times New Roman" w:hAnsi="Times New Roman" w:cs="Times New Roman"/>
        </w:rPr>
        <w:t xml:space="preserve"> di RS </w:t>
      </w:r>
      <w:proofErr w:type="spellStart"/>
      <w:r w:rsidR="007C270E" w:rsidRPr="007C270E">
        <w:rPr>
          <w:rFonts w:ascii="Times New Roman" w:hAnsi="Times New Roman" w:cs="Times New Roman"/>
        </w:rPr>
        <w:t>Bhina</w:t>
      </w:r>
      <w:proofErr w:type="spellEnd"/>
      <w:r w:rsidR="007C270E" w:rsidRPr="007C270E">
        <w:rPr>
          <w:rFonts w:ascii="Times New Roman" w:hAnsi="Times New Roman" w:cs="Times New Roman"/>
        </w:rPr>
        <w:t xml:space="preserve"> Bhakti </w:t>
      </w:r>
      <w:proofErr w:type="spellStart"/>
      <w:r w:rsidR="007C270E" w:rsidRPr="007C270E">
        <w:rPr>
          <w:rFonts w:ascii="Times New Roman" w:hAnsi="Times New Roman" w:cs="Times New Roman"/>
        </w:rPr>
        <w:t>Husada</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Rembang</w:t>
      </w:r>
      <w:proofErr w:type="spellEnd"/>
      <w:r w:rsidR="007C270E" w:rsidRPr="007C270E">
        <w:rPr>
          <w:rFonts w:ascii="Times New Roman" w:hAnsi="Times New Roman" w:cs="Times New Roman"/>
        </w:rPr>
        <w:t>.</w:t>
      </w:r>
      <w:r w:rsidR="007C270E" w:rsidRPr="007C270E">
        <w:rPr>
          <w:rFonts w:ascii="Times New Roman" w:hAnsi="Times New Roman" w:cs="Times New Roman"/>
        </w:rPr>
        <w:br/>
      </w:r>
      <w:r w:rsidR="007C270E" w:rsidRPr="007C270E">
        <w:rPr>
          <w:rFonts w:ascii="Times New Roman" w:hAnsi="Times New Roman" w:cs="Times New Roman"/>
          <w:b/>
          <w:bCs/>
        </w:rPr>
        <w:t xml:space="preserve">Metode: </w:t>
      </w:r>
      <w:proofErr w:type="spellStart"/>
      <w:r w:rsidR="007C270E" w:rsidRPr="007C270E">
        <w:rPr>
          <w:rFonts w:ascii="Times New Roman" w:hAnsi="Times New Roman" w:cs="Times New Roman"/>
        </w:rPr>
        <w:t>Penelitian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menggunakan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desain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kuantitatif</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dengan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pendekatan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korelasional</w:t>
      </w:r>
      <w:proofErr w:type="spellEnd"/>
      <w:r w:rsidR="007C270E" w:rsidRPr="007C270E">
        <w:rPr>
          <w:rFonts w:ascii="Times New Roman" w:hAnsi="Times New Roman" w:cs="Times New Roman"/>
        </w:rPr>
        <w:t xml:space="preserve">. Teknik </w:t>
      </w:r>
      <w:proofErr w:type="spellStart"/>
      <w:r w:rsidR="007C270E" w:rsidRPr="007C270E">
        <w:rPr>
          <w:rFonts w:ascii="Times New Roman" w:hAnsi="Times New Roman" w:cs="Times New Roman"/>
        </w:rPr>
        <w:t>pengambilan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sampel</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dilakukan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secara</w:t>
      </w:r>
      <w:proofErr w:type="spellEnd"/>
      <w:r w:rsidR="007C270E" w:rsidRPr="007C270E">
        <w:rPr>
          <w:rFonts w:ascii="Times New Roman" w:hAnsi="Times New Roman" w:cs="Times New Roman"/>
        </w:rPr>
        <w:t xml:space="preserve"> total sampling, </w:t>
      </w:r>
      <w:proofErr w:type="spellStart"/>
      <w:r w:rsidR="007C270E" w:rsidRPr="007C270E">
        <w:rPr>
          <w:rFonts w:ascii="Times New Roman" w:hAnsi="Times New Roman" w:cs="Times New Roman"/>
        </w:rPr>
        <w:t>melibatkan</w:t>
      </w:r>
      <w:proofErr w:type="spellEnd"/>
      <w:r w:rsidR="007C270E" w:rsidRPr="007C270E">
        <w:rPr>
          <w:rFonts w:ascii="Times New Roman" w:hAnsi="Times New Roman" w:cs="Times New Roman"/>
        </w:rPr>
        <w:t xml:space="preserve"> 48 </w:t>
      </w:r>
      <w:proofErr w:type="spellStart"/>
      <w:r w:rsidR="007C270E" w:rsidRPr="007C270E">
        <w:rPr>
          <w:rFonts w:ascii="Times New Roman" w:hAnsi="Times New Roman" w:cs="Times New Roman"/>
        </w:rPr>
        <w:t>responden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Instrumen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penelitian</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berupa</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kuesioner</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kepatuhan</w:t>
      </w:r>
      <w:proofErr w:type="spellEnd"/>
      <w:r w:rsidR="007C270E" w:rsidRPr="007C270E">
        <w:rPr>
          <w:rFonts w:ascii="Times New Roman" w:hAnsi="Times New Roman" w:cs="Times New Roman"/>
        </w:rPr>
        <w:t xml:space="preserve"> dan </w:t>
      </w:r>
      <w:proofErr w:type="spellStart"/>
      <w:r w:rsidR="007C270E" w:rsidRPr="007C270E">
        <w:rPr>
          <w:rFonts w:ascii="Times New Roman" w:hAnsi="Times New Roman" w:cs="Times New Roman"/>
        </w:rPr>
        <w:t>kuesioner</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kualitas</w:t>
      </w:r>
      <w:proofErr w:type="spellEnd"/>
      <w:r w:rsidR="007C270E" w:rsidRPr="007C270E">
        <w:rPr>
          <w:rFonts w:ascii="Times New Roman" w:hAnsi="Times New Roman" w:cs="Times New Roman"/>
        </w:rPr>
        <w:t xml:space="preserve"> </w:t>
      </w:r>
      <w:proofErr w:type="spellStart"/>
      <w:r w:rsidR="007C270E" w:rsidRPr="007C270E">
        <w:rPr>
          <w:rFonts w:ascii="Times New Roman" w:hAnsi="Times New Roman" w:cs="Times New Roman"/>
        </w:rPr>
        <w:t>hidup</w:t>
      </w:r>
      <w:proofErr w:type="spellEnd"/>
      <w:r w:rsidR="007C270E" w:rsidRPr="007C270E">
        <w:rPr>
          <w:rFonts w:ascii="Times New Roman" w:hAnsi="Times New Roman" w:cs="Times New Roman"/>
        </w:rPr>
        <w:t>.</w:t>
      </w:r>
    </w:p>
    <w:p w14:paraId="6CC81F75" w14:textId="77777777" w:rsidR="004D44D2" w:rsidRDefault="007C270E" w:rsidP="007C270E">
      <w:pPr>
        <w:spacing w:line="240" w:lineRule="auto"/>
        <w:jc w:val="both"/>
        <w:rPr>
          <w:rFonts w:ascii="Times New Roman" w:hAnsi="Times New Roman" w:cs="Times New Roman"/>
        </w:rPr>
      </w:pPr>
      <w:r w:rsidRPr="007C270E">
        <w:rPr>
          <w:rFonts w:ascii="Times New Roman" w:hAnsi="Times New Roman" w:cs="Times New Roman"/>
          <w:b/>
          <w:bCs/>
        </w:rPr>
        <w:t xml:space="preserve">Hasil: </w:t>
      </w:r>
      <w:proofErr w:type="spellStart"/>
      <w:r w:rsidRPr="007C270E">
        <w:rPr>
          <w:rFonts w:ascii="Times New Roman" w:hAnsi="Times New Roman" w:cs="Times New Roman"/>
        </w:rPr>
        <w:t>Analisis</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menggunakan</w:t>
      </w:r>
      <w:proofErr w:type="spellEnd"/>
      <w:r w:rsidRPr="007C270E">
        <w:rPr>
          <w:rFonts w:ascii="Times New Roman" w:hAnsi="Times New Roman" w:cs="Times New Roman"/>
        </w:rPr>
        <w:t xml:space="preserve"> uji Spearman </w:t>
      </w:r>
      <w:proofErr w:type="spellStart"/>
      <w:r w:rsidRPr="007C270E">
        <w:rPr>
          <w:rFonts w:ascii="Times New Roman" w:hAnsi="Times New Roman" w:cs="Times New Roman"/>
        </w:rPr>
        <w:t>menunjukkan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adanya</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hubungan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signifikan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antara</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kepatuhan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menjalani</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terapi</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hemodialisis</w:t>
      </w:r>
      <w:proofErr w:type="spellEnd"/>
      <w:r w:rsidRPr="007C270E">
        <w:rPr>
          <w:rFonts w:ascii="Times New Roman" w:hAnsi="Times New Roman" w:cs="Times New Roman"/>
        </w:rPr>
        <w:t xml:space="preserve"> dan </w:t>
      </w:r>
      <w:proofErr w:type="spellStart"/>
      <w:r w:rsidRPr="007C270E">
        <w:rPr>
          <w:rFonts w:ascii="Times New Roman" w:hAnsi="Times New Roman" w:cs="Times New Roman"/>
        </w:rPr>
        <w:t>kualitas</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hidup</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pasien</w:t>
      </w:r>
      <w:proofErr w:type="spellEnd"/>
      <w:r w:rsidRPr="007C270E">
        <w:rPr>
          <w:rFonts w:ascii="Times New Roman" w:hAnsi="Times New Roman" w:cs="Times New Roman"/>
        </w:rPr>
        <w:t xml:space="preserve"> (p &lt; 0,05). </w:t>
      </w:r>
      <w:proofErr w:type="spellStart"/>
      <w:r w:rsidRPr="007C270E">
        <w:rPr>
          <w:rFonts w:ascii="Times New Roman" w:hAnsi="Times New Roman" w:cs="Times New Roman"/>
        </w:rPr>
        <w:t>Peningkatan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kepatuhan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pasien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berbanding</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lurus</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dengan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perbaikan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kualitas</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hidup</w:t>
      </w:r>
      <w:proofErr w:type="spellEnd"/>
      <w:r w:rsidRPr="007C270E">
        <w:rPr>
          <w:rFonts w:ascii="Times New Roman" w:hAnsi="Times New Roman" w:cs="Times New Roman"/>
        </w:rPr>
        <w:t xml:space="preserve"> yang </w:t>
      </w:r>
      <w:proofErr w:type="spellStart"/>
      <w:r w:rsidRPr="007C270E">
        <w:rPr>
          <w:rFonts w:ascii="Times New Roman" w:hAnsi="Times New Roman" w:cs="Times New Roman"/>
        </w:rPr>
        <w:t>dirasakan</w:t>
      </w:r>
      <w:proofErr w:type="spellEnd"/>
      <w:r w:rsidRPr="007C270E">
        <w:rPr>
          <w:rFonts w:ascii="Times New Roman" w:hAnsi="Times New Roman" w:cs="Times New Roman"/>
        </w:rPr>
        <w:t xml:space="preserve">. Hasil </w:t>
      </w:r>
      <w:proofErr w:type="spellStart"/>
      <w:r w:rsidRPr="007C270E">
        <w:rPr>
          <w:rFonts w:ascii="Times New Roman" w:hAnsi="Times New Roman" w:cs="Times New Roman"/>
        </w:rPr>
        <w:t>ini</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menegaskan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pentingn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ya</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peran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tenaga</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kesehatan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dalam</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memberikan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edukasi</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serta</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motivasi</w:t>
      </w:r>
      <w:proofErr w:type="spellEnd"/>
      <w:r w:rsidRPr="007C270E">
        <w:rPr>
          <w:rFonts w:ascii="Times New Roman" w:hAnsi="Times New Roman" w:cs="Times New Roman"/>
        </w:rPr>
        <w:t xml:space="preserve"> agar </w:t>
      </w:r>
      <w:proofErr w:type="spellStart"/>
      <w:r w:rsidRPr="007C270E">
        <w:rPr>
          <w:rFonts w:ascii="Times New Roman" w:hAnsi="Times New Roman" w:cs="Times New Roman"/>
        </w:rPr>
        <w:t>pasien</w:t>
      </w:r>
      <w:proofErr w:type="spellEnd"/>
      <w:r>
        <w:rPr>
          <w:rFonts w:ascii="Times New Roman" w:hAnsi="Times New Roman" w:cs="Times New Roman"/>
        </w:rPr>
        <w:t xml:space="preserve"> </w:t>
      </w:r>
      <w:proofErr w:type="spellStart"/>
      <w:r w:rsidRPr="007C270E">
        <w:rPr>
          <w:rFonts w:ascii="Times New Roman" w:hAnsi="Times New Roman" w:cs="Times New Roman"/>
        </w:rPr>
        <w:t>tetap</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konsisten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menjalani</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terapi</w:t>
      </w:r>
      <w:proofErr w:type="spellEnd"/>
      <w:r w:rsidRPr="007C270E">
        <w:rPr>
          <w:rFonts w:ascii="Times New Roman" w:hAnsi="Times New Roman" w:cs="Times New Roman"/>
        </w:rPr>
        <w:t>.</w:t>
      </w:r>
    </w:p>
    <w:p w14:paraId="1DD1FE2E" w14:textId="546BABC9" w:rsidR="007C270E" w:rsidRPr="007C270E" w:rsidRDefault="007C270E" w:rsidP="007C270E">
      <w:pPr>
        <w:spacing w:line="240" w:lineRule="auto"/>
        <w:jc w:val="both"/>
        <w:rPr>
          <w:rFonts w:ascii="Times New Roman" w:hAnsi="Times New Roman" w:cs="Times New Roman"/>
          <w:b/>
          <w:bCs/>
        </w:rPr>
      </w:pPr>
      <w:r w:rsidRPr="007C270E">
        <w:rPr>
          <w:rFonts w:ascii="Times New Roman" w:hAnsi="Times New Roman" w:cs="Times New Roman"/>
          <w:b/>
          <w:bCs/>
        </w:rPr>
        <w:t>Kesimpulan</w:t>
      </w:r>
      <w:r w:rsidRPr="007C270E">
        <w:rPr>
          <w:rFonts w:ascii="Times New Roman" w:hAnsi="Times New Roman" w:cs="Times New Roman"/>
        </w:rPr>
        <w:t xml:space="preserve">: </w:t>
      </w:r>
      <w:proofErr w:type="spellStart"/>
      <w:r w:rsidRPr="007C270E">
        <w:rPr>
          <w:rFonts w:ascii="Times New Roman" w:hAnsi="Times New Roman" w:cs="Times New Roman"/>
        </w:rPr>
        <w:t>Penelitian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terhadap</w:t>
      </w:r>
      <w:proofErr w:type="spellEnd"/>
      <w:r w:rsidRPr="007C270E">
        <w:rPr>
          <w:rFonts w:ascii="Times New Roman" w:hAnsi="Times New Roman" w:cs="Times New Roman"/>
        </w:rPr>
        <w:t xml:space="preserve"> 48 </w:t>
      </w:r>
      <w:proofErr w:type="spellStart"/>
      <w:r w:rsidRPr="007C270E">
        <w:rPr>
          <w:rFonts w:ascii="Times New Roman" w:hAnsi="Times New Roman" w:cs="Times New Roman"/>
        </w:rPr>
        <w:t>responden</w:t>
      </w:r>
      <w:proofErr w:type="spellEnd"/>
      <w:r w:rsidRPr="007C270E">
        <w:rPr>
          <w:rFonts w:ascii="Times New Roman" w:hAnsi="Times New Roman" w:cs="Times New Roman"/>
        </w:rPr>
        <w:t xml:space="preserve"> di RS </w:t>
      </w:r>
      <w:proofErr w:type="spellStart"/>
      <w:r w:rsidRPr="007C270E">
        <w:rPr>
          <w:rFonts w:ascii="Times New Roman" w:hAnsi="Times New Roman" w:cs="Times New Roman"/>
        </w:rPr>
        <w:t>Bhina</w:t>
      </w:r>
      <w:proofErr w:type="spellEnd"/>
      <w:r w:rsidRPr="007C270E">
        <w:rPr>
          <w:rFonts w:ascii="Times New Roman" w:hAnsi="Times New Roman" w:cs="Times New Roman"/>
        </w:rPr>
        <w:t xml:space="preserve"> Bhakti </w:t>
      </w:r>
      <w:proofErr w:type="spellStart"/>
      <w:r w:rsidRPr="007C270E">
        <w:rPr>
          <w:rFonts w:ascii="Times New Roman" w:hAnsi="Times New Roman" w:cs="Times New Roman"/>
        </w:rPr>
        <w:t>Husada</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Rembang</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menunjukkan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bahwa</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kepatuhan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menjalani</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terapi</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hemodialisis</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memiliki</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keterkaitan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erat</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dengan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kualitas</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hidup</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pasien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gagal</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ginjal</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kronik</w:t>
      </w:r>
      <w:proofErr w:type="spellEnd"/>
      <w:r w:rsidRPr="007C270E">
        <w:rPr>
          <w:rFonts w:ascii="Times New Roman" w:hAnsi="Times New Roman" w:cs="Times New Roman"/>
        </w:rPr>
        <w:t xml:space="preserve">. Tingkat </w:t>
      </w:r>
      <w:proofErr w:type="spellStart"/>
      <w:r w:rsidRPr="007C270E">
        <w:rPr>
          <w:rFonts w:ascii="Times New Roman" w:hAnsi="Times New Roman" w:cs="Times New Roman"/>
        </w:rPr>
        <w:t>kepatuhan</w:t>
      </w:r>
      <w:proofErr w:type="spellEnd"/>
      <w:r w:rsidRPr="007C270E">
        <w:rPr>
          <w:rFonts w:ascii="Times New Roman" w:hAnsi="Times New Roman" w:cs="Times New Roman"/>
        </w:rPr>
        <w:t xml:space="preserve"> yang </w:t>
      </w:r>
      <w:proofErr w:type="spellStart"/>
      <w:r w:rsidRPr="007C270E">
        <w:rPr>
          <w:rFonts w:ascii="Times New Roman" w:hAnsi="Times New Roman" w:cs="Times New Roman"/>
        </w:rPr>
        <w:t>lebih</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baik</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akan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berdampak</w:t>
      </w:r>
      <w:proofErr w:type="spellEnd"/>
      <w:r w:rsidRPr="007C270E">
        <w:rPr>
          <w:rFonts w:ascii="Times New Roman" w:hAnsi="Times New Roman" w:cs="Times New Roman"/>
        </w:rPr>
        <w:t xml:space="preserve"> pada </w:t>
      </w:r>
      <w:proofErr w:type="spellStart"/>
      <w:r w:rsidRPr="007C270E">
        <w:rPr>
          <w:rFonts w:ascii="Times New Roman" w:hAnsi="Times New Roman" w:cs="Times New Roman"/>
        </w:rPr>
        <w:t>meningkatnya</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kualitas</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hidup</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pasien</w:t>
      </w:r>
      <w:proofErr w:type="spellEnd"/>
      <w:r w:rsidRPr="007C270E">
        <w:rPr>
          <w:rFonts w:ascii="Times New Roman" w:hAnsi="Times New Roman" w:cs="Times New Roman"/>
        </w:rPr>
        <w:t xml:space="preserve">. Oleh </w:t>
      </w:r>
      <w:proofErr w:type="spellStart"/>
      <w:r w:rsidRPr="007C270E">
        <w:rPr>
          <w:rFonts w:ascii="Times New Roman" w:hAnsi="Times New Roman" w:cs="Times New Roman"/>
        </w:rPr>
        <w:t>karena</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itu</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tenaga</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kesehatan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diharapkan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terus</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memberikan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pendampingan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motivasi</w:t>
      </w:r>
      <w:proofErr w:type="spellEnd"/>
      <w:r w:rsidRPr="007C270E">
        <w:rPr>
          <w:rFonts w:ascii="Times New Roman" w:hAnsi="Times New Roman" w:cs="Times New Roman"/>
        </w:rPr>
        <w:t xml:space="preserve">, dan </w:t>
      </w:r>
      <w:proofErr w:type="spellStart"/>
      <w:r w:rsidRPr="007C270E">
        <w:rPr>
          <w:rFonts w:ascii="Times New Roman" w:hAnsi="Times New Roman" w:cs="Times New Roman"/>
        </w:rPr>
        <w:t>edukasi</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berkesinambungan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untuk</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mendukung</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peningkatan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kualitas</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hidup</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pasien</w:t>
      </w:r>
      <w:proofErr w:type="spellEnd"/>
      <w:r w:rsidRPr="007C270E">
        <w:rPr>
          <w:rFonts w:ascii="Times New Roman" w:hAnsi="Times New Roman" w:cs="Times New Roman"/>
        </w:rPr>
        <w:t>.</w:t>
      </w:r>
    </w:p>
    <w:p w14:paraId="1C10F7F7" w14:textId="333C6C28" w:rsidR="007C270E" w:rsidRPr="007C270E" w:rsidRDefault="007C270E" w:rsidP="007C270E">
      <w:pPr>
        <w:spacing w:line="240" w:lineRule="auto"/>
        <w:jc w:val="both"/>
        <w:rPr>
          <w:rFonts w:ascii="Times New Roman" w:hAnsi="Times New Roman" w:cs="Times New Roman"/>
          <w:b/>
          <w:bCs/>
        </w:rPr>
      </w:pPr>
      <w:r w:rsidRPr="007C270E">
        <w:rPr>
          <w:rFonts w:ascii="Times New Roman" w:hAnsi="Times New Roman" w:cs="Times New Roman"/>
          <w:b/>
          <w:bCs/>
        </w:rPr>
        <w:t xml:space="preserve">Kata </w:t>
      </w:r>
      <w:proofErr w:type="spellStart"/>
      <w:r w:rsidRPr="007C270E">
        <w:rPr>
          <w:rFonts w:ascii="Times New Roman" w:hAnsi="Times New Roman" w:cs="Times New Roman"/>
          <w:b/>
          <w:bCs/>
        </w:rPr>
        <w:t>Kunci</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Kepatuhan</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Hemodialisis</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Kualitas</w:t>
      </w:r>
      <w:proofErr w:type="spellEnd"/>
      <w:r w:rsidRPr="007C270E">
        <w:rPr>
          <w:rFonts w:ascii="Times New Roman" w:hAnsi="Times New Roman" w:cs="Times New Roman"/>
        </w:rPr>
        <w:t xml:space="preserve"> Hidup, </w:t>
      </w:r>
      <w:proofErr w:type="spellStart"/>
      <w:r w:rsidRPr="007C270E">
        <w:rPr>
          <w:rFonts w:ascii="Times New Roman" w:hAnsi="Times New Roman" w:cs="Times New Roman"/>
        </w:rPr>
        <w:t>Gagal</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Ginjal</w:t>
      </w:r>
      <w:proofErr w:type="spellEnd"/>
      <w:r w:rsidRPr="007C270E">
        <w:rPr>
          <w:rFonts w:ascii="Times New Roman" w:hAnsi="Times New Roman" w:cs="Times New Roman"/>
        </w:rPr>
        <w:t xml:space="preserve"> </w:t>
      </w:r>
      <w:proofErr w:type="spellStart"/>
      <w:r w:rsidRPr="007C270E">
        <w:rPr>
          <w:rFonts w:ascii="Times New Roman" w:hAnsi="Times New Roman" w:cs="Times New Roman"/>
        </w:rPr>
        <w:t>Kronik</w:t>
      </w:r>
      <w:proofErr w:type="spellEnd"/>
    </w:p>
    <w:p w14:paraId="290B377A" w14:textId="52057C9F" w:rsidR="00090A70" w:rsidRDefault="00090A70" w:rsidP="007C270E">
      <w:pPr>
        <w:spacing w:line="240" w:lineRule="auto"/>
        <w:jc w:val="both"/>
        <w:rPr>
          <w:rFonts w:ascii="Times New Roman" w:hAnsi="Times New Roman" w:cs="Times New Roman"/>
        </w:rPr>
      </w:pPr>
    </w:p>
    <w:p w14:paraId="240676E6" w14:textId="77777777" w:rsidR="00432072" w:rsidRDefault="00432072" w:rsidP="00090A70">
      <w:pPr>
        <w:spacing w:line="240" w:lineRule="auto"/>
        <w:jc w:val="both"/>
        <w:rPr>
          <w:rFonts w:ascii="Times New Roman" w:hAnsi="Times New Roman" w:cs="Times New Roman"/>
        </w:rPr>
      </w:pPr>
    </w:p>
    <w:p w14:paraId="18BF9029" w14:textId="77777777" w:rsidR="00432072" w:rsidRDefault="00432072" w:rsidP="00090A70">
      <w:pPr>
        <w:spacing w:line="240" w:lineRule="auto"/>
        <w:jc w:val="both"/>
        <w:rPr>
          <w:rFonts w:ascii="Times New Roman" w:hAnsi="Times New Roman" w:cs="Times New Roman"/>
        </w:rPr>
      </w:pPr>
    </w:p>
    <w:p w14:paraId="0A6AC2CA" w14:textId="77777777" w:rsidR="00432072" w:rsidRPr="00090A70" w:rsidRDefault="00432072" w:rsidP="00090A70">
      <w:pPr>
        <w:spacing w:line="240" w:lineRule="auto"/>
        <w:jc w:val="both"/>
        <w:rPr>
          <w:rFonts w:ascii="Times New Roman" w:hAnsi="Times New Roman" w:cs="Times New Roman"/>
        </w:rPr>
      </w:pPr>
    </w:p>
    <w:p w14:paraId="34EDFF7F" w14:textId="77777777" w:rsidR="00FB344A" w:rsidRDefault="00FB344A" w:rsidP="00FB344A">
      <w:pPr>
        <w:rPr>
          <w:b/>
        </w:rPr>
      </w:pPr>
    </w:p>
    <w:p w14:paraId="15EEE638" w14:textId="38D97786" w:rsidR="00FB344A" w:rsidRDefault="00FB344A" w:rsidP="00FB344A">
      <w:pPr>
        <w:jc w:val="center"/>
        <w:rPr>
          <w:rFonts w:ascii="Times New Roman" w:hAnsi="Times New Roman" w:cs="Times New Roman"/>
          <w:b/>
          <w:i/>
          <w:iCs/>
        </w:rPr>
      </w:pPr>
      <w:r>
        <w:rPr>
          <w:rFonts w:ascii="Times New Roman" w:hAnsi="Times New Roman" w:cs="Times New Roman"/>
          <w:b/>
          <w:i/>
          <w:iCs/>
        </w:rPr>
        <w:lastRenderedPageBreak/>
        <w:t>ABSTRACT</w:t>
      </w:r>
    </w:p>
    <w:p w14:paraId="37BDC970" w14:textId="77777777" w:rsidR="004D44D2" w:rsidRDefault="007C270E" w:rsidP="007C270E">
      <w:pPr>
        <w:spacing w:line="240" w:lineRule="auto"/>
        <w:jc w:val="both"/>
        <w:rPr>
          <w:rFonts w:ascii="Times New Roman" w:hAnsi="Times New Roman" w:cs="Times New Roman"/>
          <w:bCs/>
          <w:i/>
          <w:iCs/>
        </w:rPr>
      </w:pPr>
      <w:r w:rsidRPr="007C270E">
        <w:rPr>
          <w:rFonts w:ascii="Times New Roman" w:hAnsi="Times New Roman" w:cs="Times New Roman"/>
          <w:bCs/>
          <w:i/>
          <w:iCs/>
        </w:rPr>
        <w:t>Background: Patients with chronic kidney disease require routine hemodialysis therapy to sustain their quality of life. Adherence to this treatment is a crucial determinant that influences therapeutic outcomes and overall well-being.</w:t>
      </w:r>
    </w:p>
    <w:p w14:paraId="253BF8CC" w14:textId="77777777" w:rsidR="004D44D2" w:rsidRDefault="007C270E" w:rsidP="007C270E">
      <w:pPr>
        <w:spacing w:line="240" w:lineRule="auto"/>
        <w:jc w:val="both"/>
        <w:rPr>
          <w:rFonts w:ascii="Times New Roman" w:hAnsi="Times New Roman" w:cs="Times New Roman"/>
          <w:bCs/>
          <w:i/>
          <w:iCs/>
        </w:rPr>
      </w:pPr>
      <w:r w:rsidRPr="007C270E">
        <w:rPr>
          <w:rFonts w:ascii="Times New Roman" w:hAnsi="Times New Roman" w:cs="Times New Roman"/>
          <w:bCs/>
          <w:i/>
          <w:iCs/>
        </w:rPr>
        <w:t xml:space="preserve">Objective: This study aims to examine the correlation between adherence to hemodialysis therapy and the quality of life among chronic kidney failure patients at </w:t>
      </w:r>
      <w:proofErr w:type="spellStart"/>
      <w:r w:rsidRPr="007C270E">
        <w:rPr>
          <w:rFonts w:ascii="Times New Roman" w:hAnsi="Times New Roman" w:cs="Times New Roman"/>
          <w:bCs/>
          <w:i/>
          <w:iCs/>
        </w:rPr>
        <w:t>Bhina</w:t>
      </w:r>
      <w:proofErr w:type="spellEnd"/>
      <w:r w:rsidRPr="007C270E">
        <w:rPr>
          <w:rFonts w:ascii="Times New Roman" w:hAnsi="Times New Roman" w:cs="Times New Roman"/>
          <w:bCs/>
          <w:i/>
          <w:iCs/>
        </w:rPr>
        <w:t xml:space="preserve"> Bhakti </w:t>
      </w:r>
      <w:proofErr w:type="spellStart"/>
      <w:r w:rsidRPr="007C270E">
        <w:rPr>
          <w:rFonts w:ascii="Times New Roman" w:hAnsi="Times New Roman" w:cs="Times New Roman"/>
          <w:bCs/>
          <w:i/>
          <w:iCs/>
        </w:rPr>
        <w:t>Husada</w:t>
      </w:r>
      <w:proofErr w:type="spellEnd"/>
      <w:r w:rsidRPr="007C270E">
        <w:rPr>
          <w:rFonts w:ascii="Times New Roman" w:hAnsi="Times New Roman" w:cs="Times New Roman"/>
          <w:bCs/>
          <w:i/>
          <w:iCs/>
        </w:rPr>
        <w:t xml:space="preserve"> Hospital, </w:t>
      </w:r>
      <w:proofErr w:type="spellStart"/>
      <w:r w:rsidRPr="007C270E">
        <w:rPr>
          <w:rFonts w:ascii="Times New Roman" w:hAnsi="Times New Roman" w:cs="Times New Roman"/>
          <w:bCs/>
          <w:i/>
          <w:iCs/>
        </w:rPr>
        <w:t>Rembang</w:t>
      </w:r>
      <w:proofErr w:type="spellEnd"/>
      <w:r w:rsidRPr="007C270E">
        <w:rPr>
          <w:rFonts w:ascii="Times New Roman" w:hAnsi="Times New Roman" w:cs="Times New Roman"/>
          <w:bCs/>
          <w:i/>
          <w:iCs/>
        </w:rPr>
        <w:t>.</w:t>
      </w:r>
    </w:p>
    <w:p w14:paraId="771CE04D" w14:textId="77777777" w:rsidR="004D44D2" w:rsidRDefault="007C270E" w:rsidP="007C270E">
      <w:pPr>
        <w:spacing w:line="240" w:lineRule="auto"/>
        <w:jc w:val="both"/>
        <w:rPr>
          <w:rFonts w:ascii="Times New Roman" w:hAnsi="Times New Roman" w:cs="Times New Roman"/>
          <w:bCs/>
          <w:i/>
          <w:iCs/>
        </w:rPr>
      </w:pPr>
      <w:r w:rsidRPr="007C270E">
        <w:rPr>
          <w:rFonts w:ascii="Times New Roman" w:hAnsi="Times New Roman" w:cs="Times New Roman"/>
          <w:bCs/>
          <w:i/>
          <w:iCs/>
        </w:rPr>
        <w:t>Methods: A quantitative research design with a correlational approach was employed. The sampling technique applied was total sampling, involving 48 respondents. Data were collected using compliance and quality of life questionnaires.</w:t>
      </w:r>
    </w:p>
    <w:p w14:paraId="335B9F04" w14:textId="77777777" w:rsidR="004D44D2" w:rsidRDefault="007C270E" w:rsidP="007C270E">
      <w:pPr>
        <w:spacing w:line="240" w:lineRule="auto"/>
        <w:jc w:val="both"/>
        <w:rPr>
          <w:rFonts w:ascii="Times New Roman" w:hAnsi="Times New Roman" w:cs="Times New Roman"/>
          <w:bCs/>
          <w:i/>
          <w:iCs/>
        </w:rPr>
      </w:pPr>
      <w:r w:rsidRPr="007C270E">
        <w:rPr>
          <w:rFonts w:ascii="Times New Roman" w:hAnsi="Times New Roman" w:cs="Times New Roman"/>
          <w:bCs/>
          <w:i/>
          <w:iCs/>
        </w:rPr>
        <w:t>Results: Statistical analysis with the Spearman test revealed a significant association between adherence to hemodialysis and patients’ quality of life (p &lt; 0.05). Higher levels of adherence were linked to better perceived quality of life. These findings underscore the importance of healthcare professionals in providing continuous education and motivation to maintain patients’ treatment compliance.</w:t>
      </w:r>
    </w:p>
    <w:p w14:paraId="67E6DCB1" w14:textId="5CF01912" w:rsidR="007C270E" w:rsidRPr="007C270E" w:rsidRDefault="007C270E" w:rsidP="007C270E">
      <w:pPr>
        <w:spacing w:line="240" w:lineRule="auto"/>
        <w:jc w:val="both"/>
        <w:rPr>
          <w:rFonts w:ascii="Times New Roman" w:hAnsi="Times New Roman" w:cs="Times New Roman"/>
          <w:bCs/>
          <w:i/>
          <w:iCs/>
        </w:rPr>
      </w:pPr>
      <w:r w:rsidRPr="007C270E">
        <w:rPr>
          <w:rFonts w:ascii="Times New Roman" w:hAnsi="Times New Roman" w:cs="Times New Roman"/>
          <w:bCs/>
          <w:i/>
          <w:iCs/>
        </w:rPr>
        <w:t>Conclusion: The study concluded that there is a significant relationship between adherence to hemodialysis therapy and the quality of life of chronic kidney disease patients. Better adherence to treatment schedules and guidelines contributes to improved quality of life. Healthcare providers play a pivotal role in enhancing adherence through ongoing education, support, and motivation.</w:t>
      </w:r>
    </w:p>
    <w:p w14:paraId="1EAD5AFA" w14:textId="01FE9F5C" w:rsidR="007C270E" w:rsidRPr="007C270E" w:rsidRDefault="007C270E" w:rsidP="007C270E">
      <w:pPr>
        <w:spacing w:line="240" w:lineRule="auto"/>
        <w:jc w:val="both"/>
        <w:rPr>
          <w:rFonts w:ascii="Times New Roman" w:hAnsi="Times New Roman" w:cs="Times New Roman"/>
          <w:bCs/>
          <w:i/>
          <w:iCs/>
        </w:rPr>
      </w:pPr>
      <w:r w:rsidRPr="007C270E">
        <w:rPr>
          <w:rFonts w:ascii="Times New Roman" w:hAnsi="Times New Roman" w:cs="Times New Roman"/>
          <w:bCs/>
          <w:i/>
          <w:iCs/>
        </w:rPr>
        <w:t>Keywords: Adherence, Hemodialysis Therapy, Quality of Life, Chronic Kidney Disease</w:t>
      </w:r>
    </w:p>
    <w:p w14:paraId="776A6DCB" w14:textId="5BFAF378" w:rsidR="00FB344A" w:rsidRDefault="00FB344A" w:rsidP="00FB344A">
      <w:pPr>
        <w:jc w:val="both"/>
        <w:rPr>
          <w:rFonts w:ascii="Times New Roman" w:hAnsi="Times New Roman" w:cs="Times New Roman"/>
          <w:bCs/>
          <w:i/>
          <w:iCs/>
        </w:rPr>
      </w:pPr>
    </w:p>
    <w:p w14:paraId="05EFDB57" w14:textId="63D0E9ED" w:rsidR="00601C80" w:rsidRDefault="00601C80" w:rsidP="00FB344A">
      <w:pPr>
        <w:jc w:val="both"/>
        <w:rPr>
          <w:rFonts w:ascii="Times New Roman" w:hAnsi="Times New Roman" w:cs="Times New Roman"/>
          <w:b/>
        </w:rPr>
      </w:pPr>
      <w:r>
        <w:rPr>
          <w:rFonts w:ascii="Times New Roman" w:hAnsi="Times New Roman" w:cs="Times New Roman"/>
          <w:b/>
        </w:rPr>
        <w:t>LATAR BELAKANG</w:t>
      </w:r>
    </w:p>
    <w:p w14:paraId="5A861E7E" w14:textId="77777777" w:rsidR="007C270E" w:rsidRPr="007C270E" w:rsidRDefault="00601C80" w:rsidP="007C270E">
      <w:pPr>
        <w:pStyle w:val="BodyText"/>
        <w:spacing w:line="360" w:lineRule="auto"/>
        <w:ind w:left="426" w:firstLine="751"/>
        <w:jc w:val="both"/>
        <w:rPr>
          <w:bCs/>
          <w:lang w:val="en-US"/>
        </w:rPr>
      </w:pPr>
      <w:r w:rsidRPr="007C270E">
        <w:rPr>
          <w:bCs/>
        </w:rPr>
        <w:t xml:space="preserve">       </w:t>
      </w:r>
      <w:proofErr w:type="spellStart"/>
      <w:r w:rsidR="007C270E" w:rsidRPr="007C270E">
        <w:rPr>
          <w:bCs/>
          <w:lang w:val="en-US"/>
        </w:rPr>
        <w:t>Gagal</w:t>
      </w:r>
      <w:proofErr w:type="spellEnd"/>
      <w:r w:rsidR="007C270E" w:rsidRPr="007C270E">
        <w:rPr>
          <w:bCs/>
          <w:lang w:val="en-US"/>
        </w:rPr>
        <w:t xml:space="preserve"> </w:t>
      </w:r>
      <w:proofErr w:type="spellStart"/>
      <w:r w:rsidR="007C270E" w:rsidRPr="007C270E">
        <w:rPr>
          <w:bCs/>
          <w:lang w:val="en-US"/>
        </w:rPr>
        <w:t>ginjal</w:t>
      </w:r>
      <w:proofErr w:type="spellEnd"/>
      <w:r w:rsidR="007C270E" w:rsidRPr="007C270E">
        <w:rPr>
          <w:bCs/>
          <w:lang w:val="en-US"/>
        </w:rPr>
        <w:t xml:space="preserve"> </w:t>
      </w:r>
      <w:proofErr w:type="spellStart"/>
      <w:r w:rsidR="007C270E" w:rsidRPr="007C270E">
        <w:rPr>
          <w:bCs/>
          <w:lang w:val="en-US"/>
        </w:rPr>
        <w:t>kronik</w:t>
      </w:r>
      <w:proofErr w:type="spellEnd"/>
      <w:r w:rsidR="007C270E" w:rsidRPr="007C270E">
        <w:rPr>
          <w:bCs/>
          <w:lang w:val="en-US"/>
        </w:rPr>
        <w:t xml:space="preserve"> </w:t>
      </w:r>
      <w:proofErr w:type="spellStart"/>
      <w:r w:rsidR="007C270E" w:rsidRPr="007C270E">
        <w:rPr>
          <w:bCs/>
          <w:lang w:val="en-US"/>
        </w:rPr>
        <w:t>merupakan</w:t>
      </w:r>
      <w:proofErr w:type="spellEnd"/>
      <w:r w:rsidR="007C270E" w:rsidRPr="007C270E">
        <w:rPr>
          <w:bCs/>
          <w:lang w:val="en-US"/>
        </w:rPr>
        <w:t xml:space="preserve"> </w:t>
      </w:r>
      <w:proofErr w:type="spellStart"/>
      <w:r w:rsidR="007C270E" w:rsidRPr="007C270E">
        <w:rPr>
          <w:bCs/>
          <w:lang w:val="en-US"/>
        </w:rPr>
        <w:t>kondisi</w:t>
      </w:r>
      <w:proofErr w:type="spellEnd"/>
      <w:r w:rsidR="007C270E" w:rsidRPr="007C270E">
        <w:rPr>
          <w:bCs/>
          <w:lang w:val="en-US"/>
        </w:rPr>
        <w:t xml:space="preserve"> </w:t>
      </w:r>
      <w:proofErr w:type="spellStart"/>
      <w:r w:rsidR="007C270E" w:rsidRPr="007C270E">
        <w:rPr>
          <w:bCs/>
          <w:lang w:val="en-US"/>
        </w:rPr>
        <w:t>ketika</w:t>
      </w:r>
      <w:proofErr w:type="spellEnd"/>
      <w:r w:rsidR="007C270E" w:rsidRPr="007C270E">
        <w:rPr>
          <w:bCs/>
          <w:lang w:val="en-US"/>
        </w:rPr>
        <w:t xml:space="preserve"> </w:t>
      </w:r>
      <w:proofErr w:type="spellStart"/>
      <w:r w:rsidR="007C270E" w:rsidRPr="007C270E">
        <w:rPr>
          <w:bCs/>
          <w:lang w:val="en-US"/>
        </w:rPr>
        <w:t>fungsi</w:t>
      </w:r>
      <w:proofErr w:type="spellEnd"/>
      <w:r w:rsidR="007C270E" w:rsidRPr="007C270E">
        <w:rPr>
          <w:bCs/>
          <w:lang w:val="en-US"/>
        </w:rPr>
        <w:t xml:space="preserve"> </w:t>
      </w:r>
      <w:proofErr w:type="spellStart"/>
      <w:r w:rsidR="007C270E" w:rsidRPr="007C270E">
        <w:rPr>
          <w:bCs/>
          <w:lang w:val="en-US"/>
        </w:rPr>
        <w:t>ginjal</w:t>
      </w:r>
      <w:proofErr w:type="spellEnd"/>
      <w:r w:rsidR="007C270E" w:rsidRPr="007C270E">
        <w:rPr>
          <w:bCs/>
          <w:lang w:val="en-US"/>
        </w:rPr>
        <w:t xml:space="preserve"> </w:t>
      </w:r>
      <w:proofErr w:type="spellStart"/>
      <w:r w:rsidR="007C270E" w:rsidRPr="007C270E">
        <w:rPr>
          <w:bCs/>
          <w:lang w:val="en-US"/>
        </w:rPr>
        <w:t>menurun</w:t>
      </w:r>
      <w:proofErr w:type="spellEnd"/>
      <w:r w:rsidR="007C270E" w:rsidRPr="007C270E">
        <w:rPr>
          <w:bCs/>
          <w:lang w:val="en-US"/>
        </w:rPr>
        <w:t xml:space="preserve"> </w:t>
      </w:r>
      <w:proofErr w:type="spellStart"/>
      <w:r w:rsidR="007C270E" w:rsidRPr="007C270E">
        <w:rPr>
          <w:bCs/>
          <w:lang w:val="en-US"/>
        </w:rPr>
        <w:t>secara</w:t>
      </w:r>
      <w:proofErr w:type="spellEnd"/>
      <w:r w:rsidR="007C270E" w:rsidRPr="007C270E">
        <w:rPr>
          <w:bCs/>
          <w:lang w:val="en-US"/>
        </w:rPr>
        <w:t xml:space="preserve"> </w:t>
      </w:r>
      <w:proofErr w:type="spellStart"/>
      <w:r w:rsidR="007C270E" w:rsidRPr="007C270E">
        <w:rPr>
          <w:bCs/>
          <w:lang w:val="en-US"/>
        </w:rPr>
        <w:t>progresif</w:t>
      </w:r>
      <w:proofErr w:type="spellEnd"/>
      <w:r w:rsidR="007C270E" w:rsidRPr="007C270E">
        <w:rPr>
          <w:bCs/>
          <w:lang w:val="en-US"/>
        </w:rPr>
        <w:t xml:space="preserve"> </w:t>
      </w:r>
      <w:proofErr w:type="spellStart"/>
      <w:r w:rsidR="007C270E" w:rsidRPr="007C270E">
        <w:rPr>
          <w:bCs/>
          <w:lang w:val="en-US"/>
        </w:rPr>
        <w:t>hingga</w:t>
      </w:r>
      <w:proofErr w:type="spellEnd"/>
      <w:r w:rsidR="007C270E" w:rsidRPr="007C270E">
        <w:rPr>
          <w:bCs/>
          <w:lang w:val="en-US"/>
        </w:rPr>
        <w:t xml:space="preserve"> </w:t>
      </w:r>
      <w:proofErr w:type="spellStart"/>
      <w:r w:rsidR="007C270E" w:rsidRPr="007C270E">
        <w:rPr>
          <w:bCs/>
          <w:lang w:val="en-US"/>
        </w:rPr>
        <w:t>tidak</w:t>
      </w:r>
      <w:proofErr w:type="spellEnd"/>
      <w:r w:rsidR="007C270E" w:rsidRPr="007C270E">
        <w:rPr>
          <w:bCs/>
          <w:lang w:val="en-US"/>
        </w:rPr>
        <w:t xml:space="preserve"> </w:t>
      </w:r>
      <w:proofErr w:type="spellStart"/>
      <w:r w:rsidR="007C270E" w:rsidRPr="007C270E">
        <w:rPr>
          <w:bCs/>
          <w:lang w:val="en-US"/>
        </w:rPr>
        <w:t>mampu</w:t>
      </w:r>
      <w:proofErr w:type="spellEnd"/>
      <w:r w:rsidR="007C270E" w:rsidRPr="007C270E">
        <w:rPr>
          <w:bCs/>
          <w:lang w:val="en-US"/>
        </w:rPr>
        <w:t xml:space="preserve"> </w:t>
      </w:r>
      <w:proofErr w:type="spellStart"/>
      <w:r w:rsidR="007C270E" w:rsidRPr="007C270E">
        <w:rPr>
          <w:bCs/>
          <w:lang w:val="en-US"/>
        </w:rPr>
        <w:t>lagi</w:t>
      </w:r>
      <w:proofErr w:type="spellEnd"/>
      <w:r w:rsidR="007C270E" w:rsidRPr="007C270E">
        <w:rPr>
          <w:bCs/>
          <w:lang w:val="en-US"/>
        </w:rPr>
        <w:t xml:space="preserve"> </w:t>
      </w:r>
      <w:proofErr w:type="spellStart"/>
      <w:r w:rsidR="007C270E" w:rsidRPr="007C270E">
        <w:rPr>
          <w:bCs/>
          <w:lang w:val="en-US"/>
        </w:rPr>
        <w:t>menjalankan</w:t>
      </w:r>
      <w:proofErr w:type="spellEnd"/>
      <w:r w:rsidR="007C270E" w:rsidRPr="007C270E">
        <w:rPr>
          <w:bCs/>
          <w:lang w:val="en-US"/>
        </w:rPr>
        <w:t xml:space="preserve"> </w:t>
      </w:r>
      <w:proofErr w:type="spellStart"/>
      <w:r w:rsidR="007C270E" w:rsidRPr="007C270E">
        <w:rPr>
          <w:bCs/>
          <w:lang w:val="en-US"/>
        </w:rPr>
        <w:t>perannya</w:t>
      </w:r>
      <w:proofErr w:type="spellEnd"/>
      <w:r w:rsidR="007C270E" w:rsidRPr="007C270E">
        <w:rPr>
          <w:bCs/>
          <w:lang w:val="en-US"/>
        </w:rPr>
        <w:t xml:space="preserve">, </w:t>
      </w:r>
      <w:proofErr w:type="spellStart"/>
      <w:r w:rsidR="007C270E" w:rsidRPr="007C270E">
        <w:rPr>
          <w:bCs/>
          <w:lang w:val="en-US"/>
        </w:rPr>
        <w:t>seperti</w:t>
      </w:r>
      <w:proofErr w:type="spellEnd"/>
      <w:r w:rsidR="007C270E" w:rsidRPr="007C270E">
        <w:rPr>
          <w:bCs/>
          <w:lang w:val="en-US"/>
        </w:rPr>
        <w:t xml:space="preserve"> </w:t>
      </w:r>
      <w:proofErr w:type="spellStart"/>
      <w:r w:rsidR="007C270E" w:rsidRPr="007C270E">
        <w:rPr>
          <w:bCs/>
          <w:lang w:val="en-US"/>
        </w:rPr>
        <w:t>menyaring</w:t>
      </w:r>
      <w:proofErr w:type="spellEnd"/>
      <w:r w:rsidR="007C270E" w:rsidRPr="007C270E">
        <w:rPr>
          <w:bCs/>
          <w:lang w:val="en-US"/>
        </w:rPr>
        <w:t xml:space="preserve"> </w:t>
      </w:r>
      <w:proofErr w:type="spellStart"/>
      <w:r w:rsidR="007C270E" w:rsidRPr="007C270E">
        <w:rPr>
          <w:bCs/>
          <w:lang w:val="en-US"/>
        </w:rPr>
        <w:t>darah</w:t>
      </w:r>
      <w:proofErr w:type="spellEnd"/>
      <w:r w:rsidR="007C270E" w:rsidRPr="007C270E">
        <w:rPr>
          <w:bCs/>
          <w:lang w:val="en-US"/>
        </w:rPr>
        <w:t xml:space="preserve">, </w:t>
      </w:r>
      <w:proofErr w:type="spellStart"/>
      <w:r w:rsidR="007C270E" w:rsidRPr="007C270E">
        <w:rPr>
          <w:bCs/>
          <w:lang w:val="en-US"/>
        </w:rPr>
        <w:t>membuang</w:t>
      </w:r>
      <w:proofErr w:type="spellEnd"/>
      <w:r w:rsidR="007C270E" w:rsidRPr="007C270E">
        <w:rPr>
          <w:bCs/>
          <w:lang w:val="en-US"/>
        </w:rPr>
        <w:t xml:space="preserve"> </w:t>
      </w:r>
      <w:proofErr w:type="spellStart"/>
      <w:r w:rsidR="007C270E" w:rsidRPr="007C270E">
        <w:rPr>
          <w:bCs/>
          <w:lang w:val="en-US"/>
        </w:rPr>
        <w:t>elektrolit</w:t>
      </w:r>
      <w:proofErr w:type="spellEnd"/>
      <w:r w:rsidR="007C270E" w:rsidRPr="007C270E">
        <w:rPr>
          <w:bCs/>
          <w:lang w:val="en-US"/>
        </w:rPr>
        <w:t xml:space="preserve">, </w:t>
      </w:r>
      <w:proofErr w:type="spellStart"/>
      <w:r w:rsidR="007C270E" w:rsidRPr="007C270E">
        <w:rPr>
          <w:bCs/>
          <w:lang w:val="en-US"/>
        </w:rPr>
        <w:t>menjaga</w:t>
      </w:r>
      <w:proofErr w:type="spellEnd"/>
      <w:r w:rsidR="007C270E" w:rsidRPr="007C270E">
        <w:rPr>
          <w:bCs/>
          <w:lang w:val="en-US"/>
        </w:rPr>
        <w:t xml:space="preserve"> </w:t>
      </w:r>
      <w:proofErr w:type="spellStart"/>
      <w:r w:rsidR="007C270E" w:rsidRPr="007C270E">
        <w:rPr>
          <w:bCs/>
          <w:lang w:val="en-US"/>
        </w:rPr>
        <w:t>keseimbangan</w:t>
      </w:r>
      <w:proofErr w:type="spellEnd"/>
      <w:r w:rsidR="007C270E" w:rsidRPr="007C270E">
        <w:rPr>
          <w:bCs/>
          <w:lang w:val="en-US"/>
        </w:rPr>
        <w:t xml:space="preserve"> </w:t>
      </w:r>
      <w:proofErr w:type="spellStart"/>
      <w:r w:rsidR="007C270E" w:rsidRPr="007C270E">
        <w:rPr>
          <w:bCs/>
          <w:lang w:val="en-US"/>
        </w:rPr>
        <w:t>cairan</w:t>
      </w:r>
      <w:proofErr w:type="spellEnd"/>
      <w:r w:rsidR="007C270E" w:rsidRPr="007C270E">
        <w:rPr>
          <w:bCs/>
          <w:lang w:val="en-US"/>
        </w:rPr>
        <w:t xml:space="preserve"> </w:t>
      </w:r>
      <w:proofErr w:type="spellStart"/>
      <w:r w:rsidR="007C270E" w:rsidRPr="007C270E">
        <w:rPr>
          <w:bCs/>
          <w:lang w:val="en-US"/>
        </w:rPr>
        <w:t>serta</w:t>
      </w:r>
      <w:proofErr w:type="spellEnd"/>
      <w:r w:rsidR="007C270E" w:rsidRPr="007C270E">
        <w:rPr>
          <w:bCs/>
          <w:lang w:val="en-US"/>
        </w:rPr>
        <w:t xml:space="preserve"> </w:t>
      </w:r>
      <w:proofErr w:type="spellStart"/>
      <w:r w:rsidR="007C270E" w:rsidRPr="007C270E">
        <w:rPr>
          <w:bCs/>
          <w:lang w:val="en-US"/>
        </w:rPr>
        <w:t>zat</w:t>
      </w:r>
      <w:proofErr w:type="spellEnd"/>
      <w:r w:rsidR="007C270E" w:rsidRPr="007C270E">
        <w:rPr>
          <w:bCs/>
          <w:lang w:val="en-US"/>
        </w:rPr>
        <w:t xml:space="preserve"> </w:t>
      </w:r>
      <w:proofErr w:type="spellStart"/>
      <w:r w:rsidR="007C270E" w:rsidRPr="007C270E">
        <w:rPr>
          <w:bCs/>
          <w:lang w:val="en-US"/>
        </w:rPr>
        <w:t>kimia</w:t>
      </w:r>
      <w:proofErr w:type="spellEnd"/>
      <w:r w:rsidR="007C270E" w:rsidRPr="007C270E">
        <w:rPr>
          <w:bCs/>
          <w:lang w:val="en-US"/>
        </w:rPr>
        <w:t xml:space="preserve"> </w:t>
      </w:r>
      <w:proofErr w:type="spellStart"/>
      <w:r w:rsidR="007C270E" w:rsidRPr="007C270E">
        <w:rPr>
          <w:bCs/>
          <w:lang w:val="en-US"/>
        </w:rPr>
        <w:t>tubuh</w:t>
      </w:r>
      <w:proofErr w:type="spellEnd"/>
      <w:r w:rsidR="007C270E" w:rsidRPr="007C270E">
        <w:rPr>
          <w:bCs/>
          <w:lang w:val="en-US"/>
        </w:rPr>
        <w:t xml:space="preserve"> (</w:t>
      </w:r>
      <w:proofErr w:type="spellStart"/>
      <w:r w:rsidR="007C270E" w:rsidRPr="007C270E">
        <w:rPr>
          <w:bCs/>
          <w:lang w:val="en-US"/>
        </w:rPr>
        <w:t>misalnya</w:t>
      </w:r>
      <w:proofErr w:type="spellEnd"/>
      <w:r w:rsidR="007C270E" w:rsidRPr="007C270E">
        <w:rPr>
          <w:bCs/>
          <w:lang w:val="en-US"/>
        </w:rPr>
        <w:t xml:space="preserve"> natrium dan kalium), </w:t>
      </w:r>
      <w:proofErr w:type="spellStart"/>
      <w:r w:rsidR="007C270E" w:rsidRPr="007C270E">
        <w:rPr>
          <w:bCs/>
          <w:lang w:val="en-US"/>
        </w:rPr>
        <w:t>maupun</w:t>
      </w:r>
      <w:proofErr w:type="spellEnd"/>
      <w:r w:rsidR="007C270E" w:rsidRPr="007C270E">
        <w:rPr>
          <w:bCs/>
          <w:lang w:val="en-US"/>
        </w:rPr>
        <w:t xml:space="preserve"> </w:t>
      </w:r>
      <w:proofErr w:type="spellStart"/>
      <w:r w:rsidR="007C270E" w:rsidRPr="007C270E">
        <w:rPr>
          <w:bCs/>
          <w:lang w:val="en-US"/>
        </w:rPr>
        <w:t>menghasilkan</w:t>
      </w:r>
      <w:proofErr w:type="spellEnd"/>
      <w:r w:rsidR="007C270E" w:rsidRPr="007C270E">
        <w:rPr>
          <w:bCs/>
          <w:lang w:val="en-US"/>
        </w:rPr>
        <w:t xml:space="preserve"> </w:t>
      </w:r>
      <w:proofErr w:type="spellStart"/>
      <w:r w:rsidR="007C270E" w:rsidRPr="007C270E">
        <w:rPr>
          <w:bCs/>
          <w:lang w:val="en-US"/>
        </w:rPr>
        <w:t>urin</w:t>
      </w:r>
      <w:proofErr w:type="spellEnd"/>
      <w:r w:rsidR="007C270E" w:rsidRPr="007C270E">
        <w:rPr>
          <w:bCs/>
          <w:lang w:val="en-US"/>
        </w:rPr>
        <w:t xml:space="preserve">. Salah </w:t>
      </w:r>
      <w:proofErr w:type="spellStart"/>
      <w:r w:rsidR="007C270E" w:rsidRPr="007C270E">
        <w:rPr>
          <w:bCs/>
          <w:lang w:val="en-US"/>
        </w:rPr>
        <w:t>satu</w:t>
      </w:r>
      <w:proofErr w:type="spellEnd"/>
      <w:r w:rsidR="007C270E" w:rsidRPr="007C270E">
        <w:rPr>
          <w:bCs/>
          <w:lang w:val="en-US"/>
        </w:rPr>
        <w:t xml:space="preserve"> </w:t>
      </w:r>
      <w:proofErr w:type="spellStart"/>
      <w:r w:rsidR="007C270E" w:rsidRPr="007C270E">
        <w:rPr>
          <w:bCs/>
          <w:lang w:val="en-US"/>
        </w:rPr>
        <w:t>terapi</w:t>
      </w:r>
      <w:proofErr w:type="spellEnd"/>
      <w:r w:rsidR="007C270E" w:rsidRPr="007C270E">
        <w:rPr>
          <w:bCs/>
          <w:lang w:val="en-US"/>
        </w:rPr>
        <w:t xml:space="preserve"> </w:t>
      </w:r>
      <w:proofErr w:type="spellStart"/>
      <w:r w:rsidR="007C270E" w:rsidRPr="007C270E">
        <w:rPr>
          <w:bCs/>
          <w:lang w:val="en-US"/>
        </w:rPr>
        <w:t>utama</w:t>
      </w:r>
      <w:proofErr w:type="spellEnd"/>
      <w:r w:rsidR="007C270E" w:rsidRPr="007C270E">
        <w:rPr>
          <w:bCs/>
          <w:lang w:val="en-US"/>
        </w:rPr>
        <w:t xml:space="preserve"> yang </w:t>
      </w:r>
      <w:proofErr w:type="spellStart"/>
      <w:r w:rsidR="007C270E" w:rsidRPr="007C270E">
        <w:rPr>
          <w:bCs/>
          <w:lang w:val="en-US"/>
        </w:rPr>
        <w:t>dipilih</w:t>
      </w:r>
      <w:proofErr w:type="spellEnd"/>
      <w:r w:rsidR="007C270E" w:rsidRPr="007C270E">
        <w:rPr>
          <w:bCs/>
          <w:lang w:val="en-US"/>
        </w:rPr>
        <w:t xml:space="preserve"> </w:t>
      </w:r>
      <w:proofErr w:type="spellStart"/>
      <w:r w:rsidR="007C270E" w:rsidRPr="007C270E">
        <w:rPr>
          <w:bCs/>
          <w:lang w:val="en-US"/>
        </w:rPr>
        <w:t>untuk</w:t>
      </w:r>
      <w:proofErr w:type="spellEnd"/>
      <w:r w:rsidR="007C270E" w:rsidRPr="007C270E">
        <w:rPr>
          <w:bCs/>
          <w:lang w:val="en-US"/>
        </w:rPr>
        <w:t xml:space="preserve"> </w:t>
      </w:r>
      <w:proofErr w:type="spellStart"/>
      <w:r w:rsidR="007C270E" w:rsidRPr="007C270E">
        <w:rPr>
          <w:bCs/>
          <w:lang w:val="en-US"/>
        </w:rPr>
        <w:t>menangani</w:t>
      </w:r>
      <w:proofErr w:type="spellEnd"/>
      <w:r w:rsidR="007C270E" w:rsidRPr="007C270E">
        <w:rPr>
          <w:bCs/>
          <w:lang w:val="en-US"/>
        </w:rPr>
        <w:t xml:space="preserve"> </w:t>
      </w:r>
      <w:proofErr w:type="spellStart"/>
      <w:r w:rsidR="007C270E" w:rsidRPr="007C270E">
        <w:rPr>
          <w:bCs/>
          <w:lang w:val="en-US"/>
        </w:rPr>
        <w:t>kondisi</w:t>
      </w:r>
      <w:proofErr w:type="spellEnd"/>
      <w:r w:rsidR="007C270E" w:rsidRPr="007C270E">
        <w:rPr>
          <w:bCs/>
          <w:lang w:val="en-US"/>
        </w:rPr>
        <w:t xml:space="preserve"> </w:t>
      </w:r>
      <w:proofErr w:type="spellStart"/>
      <w:r w:rsidR="007C270E" w:rsidRPr="007C270E">
        <w:rPr>
          <w:bCs/>
          <w:lang w:val="en-US"/>
        </w:rPr>
        <w:t>ini</w:t>
      </w:r>
      <w:proofErr w:type="spellEnd"/>
      <w:r w:rsidR="007C270E" w:rsidRPr="007C270E">
        <w:rPr>
          <w:bCs/>
          <w:lang w:val="en-US"/>
        </w:rPr>
        <w:t xml:space="preserve"> </w:t>
      </w:r>
      <w:proofErr w:type="spellStart"/>
      <w:r w:rsidR="007C270E" w:rsidRPr="007C270E">
        <w:rPr>
          <w:bCs/>
          <w:lang w:val="en-US"/>
        </w:rPr>
        <w:t>adalah</w:t>
      </w:r>
      <w:proofErr w:type="spellEnd"/>
      <w:r w:rsidR="007C270E" w:rsidRPr="007C270E">
        <w:rPr>
          <w:bCs/>
          <w:lang w:val="en-US"/>
        </w:rPr>
        <w:t xml:space="preserve"> </w:t>
      </w:r>
      <w:proofErr w:type="spellStart"/>
      <w:r w:rsidR="007C270E" w:rsidRPr="007C270E">
        <w:rPr>
          <w:bCs/>
          <w:lang w:val="en-US"/>
        </w:rPr>
        <w:t>hemodialisis</w:t>
      </w:r>
      <w:proofErr w:type="spellEnd"/>
      <w:r w:rsidR="007C270E" w:rsidRPr="007C270E">
        <w:rPr>
          <w:bCs/>
          <w:lang w:val="en-US"/>
        </w:rPr>
        <w:t xml:space="preserve">, </w:t>
      </w:r>
      <w:proofErr w:type="spellStart"/>
      <w:r w:rsidR="007C270E" w:rsidRPr="007C270E">
        <w:rPr>
          <w:bCs/>
          <w:lang w:val="en-US"/>
        </w:rPr>
        <w:t>biasanya</w:t>
      </w:r>
      <w:proofErr w:type="spellEnd"/>
      <w:r w:rsidR="007C270E" w:rsidRPr="007C270E">
        <w:rPr>
          <w:bCs/>
          <w:lang w:val="en-US"/>
        </w:rPr>
        <w:t xml:space="preserve"> </w:t>
      </w:r>
      <w:proofErr w:type="spellStart"/>
      <w:r w:rsidR="007C270E" w:rsidRPr="007C270E">
        <w:rPr>
          <w:bCs/>
          <w:lang w:val="en-US"/>
        </w:rPr>
        <w:t>dilakukan</w:t>
      </w:r>
      <w:proofErr w:type="spellEnd"/>
      <w:r w:rsidR="007C270E" w:rsidRPr="007C270E">
        <w:rPr>
          <w:bCs/>
          <w:lang w:val="en-US"/>
        </w:rPr>
        <w:t xml:space="preserve"> 1–2 kali per </w:t>
      </w:r>
      <w:proofErr w:type="spellStart"/>
      <w:r w:rsidR="007C270E" w:rsidRPr="007C270E">
        <w:rPr>
          <w:bCs/>
          <w:lang w:val="en-US"/>
        </w:rPr>
        <w:t>minggu</w:t>
      </w:r>
      <w:proofErr w:type="spellEnd"/>
      <w:r w:rsidR="007C270E" w:rsidRPr="007C270E">
        <w:rPr>
          <w:bCs/>
          <w:lang w:val="en-US"/>
        </w:rPr>
        <w:t xml:space="preserve"> </w:t>
      </w:r>
      <w:proofErr w:type="spellStart"/>
      <w:r w:rsidR="007C270E" w:rsidRPr="007C270E">
        <w:rPr>
          <w:bCs/>
          <w:lang w:val="en-US"/>
        </w:rPr>
        <w:t>dengan</w:t>
      </w:r>
      <w:proofErr w:type="spellEnd"/>
      <w:r w:rsidR="007C270E" w:rsidRPr="007C270E">
        <w:rPr>
          <w:bCs/>
          <w:lang w:val="en-US"/>
        </w:rPr>
        <w:t xml:space="preserve"> </w:t>
      </w:r>
      <w:proofErr w:type="spellStart"/>
      <w:r w:rsidR="007C270E" w:rsidRPr="007C270E">
        <w:rPr>
          <w:bCs/>
          <w:lang w:val="en-US"/>
        </w:rPr>
        <w:t>durasi</w:t>
      </w:r>
      <w:proofErr w:type="spellEnd"/>
      <w:r w:rsidR="007C270E" w:rsidRPr="007C270E">
        <w:rPr>
          <w:bCs/>
          <w:lang w:val="en-US"/>
        </w:rPr>
        <w:t xml:space="preserve"> 4,5–5 jam </w:t>
      </w:r>
      <w:proofErr w:type="spellStart"/>
      <w:r w:rsidR="007C270E" w:rsidRPr="007C270E">
        <w:rPr>
          <w:bCs/>
          <w:lang w:val="en-US"/>
        </w:rPr>
        <w:t>sesuai</w:t>
      </w:r>
      <w:proofErr w:type="spellEnd"/>
      <w:r w:rsidR="007C270E" w:rsidRPr="007C270E">
        <w:rPr>
          <w:bCs/>
          <w:lang w:val="en-US"/>
        </w:rPr>
        <w:t xml:space="preserve"> </w:t>
      </w:r>
      <w:proofErr w:type="spellStart"/>
      <w:r w:rsidR="007C270E" w:rsidRPr="007C270E">
        <w:rPr>
          <w:bCs/>
          <w:lang w:val="en-US"/>
        </w:rPr>
        <w:t>anjuran</w:t>
      </w:r>
      <w:proofErr w:type="spellEnd"/>
      <w:r w:rsidR="007C270E" w:rsidRPr="007C270E">
        <w:rPr>
          <w:bCs/>
          <w:lang w:val="en-US"/>
        </w:rPr>
        <w:t xml:space="preserve"> </w:t>
      </w:r>
      <w:proofErr w:type="spellStart"/>
      <w:r w:rsidR="007C270E" w:rsidRPr="007C270E">
        <w:rPr>
          <w:bCs/>
          <w:lang w:val="en-US"/>
        </w:rPr>
        <w:t>dokter</w:t>
      </w:r>
      <w:proofErr w:type="spellEnd"/>
      <w:r w:rsidR="007C270E" w:rsidRPr="007C270E">
        <w:rPr>
          <w:bCs/>
          <w:lang w:val="en-US"/>
        </w:rPr>
        <w:t xml:space="preserve">. </w:t>
      </w:r>
      <w:proofErr w:type="spellStart"/>
      <w:r w:rsidR="007C270E" w:rsidRPr="007C270E">
        <w:rPr>
          <w:bCs/>
          <w:lang w:val="en-US"/>
        </w:rPr>
        <w:t>Pasien</w:t>
      </w:r>
      <w:proofErr w:type="spellEnd"/>
      <w:r w:rsidR="007C270E" w:rsidRPr="007C270E">
        <w:rPr>
          <w:bCs/>
          <w:lang w:val="en-US"/>
        </w:rPr>
        <w:t xml:space="preserve"> yang </w:t>
      </w:r>
      <w:proofErr w:type="spellStart"/>
      <w:r w:rsidR="007C270E" w:rsidRPr="007C270E">
        <w:rPr>
          <w:bCs/>
          <w:lang w:val="en-US"/>
        </w:rPr>
        <w:t>menjalani</w:t>
      </w:r>
      <w:proofErr w:type="spellEnd"/>
      <w:r w:rsidR="007C270E" w:rsidRPr="007C270E">
        <w:rPr>
          <w:bCs/>
          <w:lang w:val="en-US"/>
        </w:rPr>
        <w:t xml:space="preserve"> </w:t>
      </w:r>
      <w:proofErr w:type="spellStart"/>
      <w:r w:rsidR="007C270E" w:rsidRPr="007C270E">
        <w:rPr>
          <w:bCs/>
          <w:lang w:val="en-US"/>
        </w:rPr>
        <w:t>terapi</w:t>
      </w:r>
      <w:proofErr w:type="spellEnd"/>
      <w:r w:rsidR="007C270E" w:rsidRPr="007C270E">
        <w:rPr>
          <w:bCs/>
          <w:lang w:val="en-US"/>
        </w:rPr>
        <w:t xml:space="preserve"> </w:t>
      </w:r>
      <w:proofErr w:type="spellStart"/>
      <w:r w:rsidR="007C270E" w:rsidRPr="007C270E">
        <w:rPr>
          <w:bCs/>
          <w:lang w:val="en-US"/>
        </w:rPr>
        <w:t>secara</w:t>
      </w:r>
      <w:proofErr w:type="spellEnd"/>
      <w:r w:rsidR="007C270E" w:rsidRPr="007C270E">
        <w:rPr>
          <w:bCs/>
          <w:lang w:val="en-US"/>
        </w:rPr>
        <w:t xml:space="preserve"> </w:t>
      </w:r>
      <w:proofErr w:type="spellStart"/>
      <w:r w:rsidR="007C270E" w:rsidRPr="007C270E">
        <w:rPr>
          <w:bCs/>
          <w:lang w:val="en-US"/>
        </w:rPr>
        <w:t>teratur</w:t>
      </w:r>
      <w:proofErr w:type="spellEnd"/>
      <w:r w:rsidR="007C270E" w:rsidRPr="007C270E">
        <w:rPr>
          <w:bCs/>
          <w:lang w:val="en-US"/>
        </w:rPr>
        <w:t xml:space="preserve"> </w:t>
      </w:r>
      <w:proofErr w:type="spellStart"/>
      <w:r w:rsidR="007C270E" w:rsidRPr="007C270E">
        <w:rPr>
          <w:bCs/>
          <w:lang w:val="en-US"/>
        </w:rPr>
        <w:t>umumnya</w:t>
      </w:r>
      <w:proofErr w:type="spellEnd"/>
      <w:r w:rsidR="007C270E" w:rsidRPr="007C270E">
        <w:rPr>
          <w:bCs/>
          <w:lang w:val="en-US"/>
        </w:rPr>
        <w:t xml:space="preserve"> </w:t>
      </w:r>
      <w:proofErr w:type="spellStart"/>
      <w:r w:rsidR="007C270E" w:rsidRPr="007C270E">
        <w:rPr>
          <w:bCs/>
          <w:lang w:val="en-US"/>
        </w:rPr>
        <w:t>akan</w:t>
      </w:r>
      <w:proofErr w:type="spellEnd"/>
      <w:r w:rsidR="007C270E" w:rsidRPr="007C270E">
        <w:rPr>
          <w:bCs/>
          <w:lang w:val="en-US"/>
        </w:rPr>
        <w:t xml:space="preserve"> </w:t>
      </w:r>
      <w:proofErr w:type="spellStart"/>
      <w:r w:rsidR="007C270E" w:rsidRPr="007C270E">
        <w:rPr>
          <w:bCs/>
          <w:lang w:val="en-US"/>
        </w:rPr>
        <w:t>memiliki</w:t>
      </w:r>
      <w:proofErr w:type="spellEnd"/>
      <w:r w:rsidR="007C270E" w:rsidRPr="007C270E">
        <w:rPr>
          <w:bCs/>
          <w:lang w:val="en-US"/>
        </w:rPr>
        <w:t xml:space="preserve"> </w:t>
      </w:r>
      <w:proofErr w:type="spellStart"/>
      <w:r w:rsidR="007C270E" w:rsidRPr="007C270E">
        <w:rPr>
          <w:bCs/>
          <w:lang w:val="en-US"/>
        </w:rPr>
        <w:t>kualitas</w:t>
      </w:r>
      <w:proofErr w:type="spellEnd"/>
      <w:r w:rsidR="007C270E" w:rsidRPr="007C270E">
        <w:rPr>
          <w:bCs/>
          <w:lang w:val="en-US"/>
        </w:rPr>
        <w:t xml:space="preserve"> </w:t>
      </w:r>
      <w:proofErr w:type="spellStart"/>
      <w:r w:rsidR="007C270E" w:rsidRPr="007C270E">
        <w:rPr>
          <w:bCs/>
          <w:lang w:val="en-US"/>
        </w:rPr>
        <w:t>hidup</w:t>
      </w:r>
      <w:proofErr w:type="spellEnd"/>
      <w:r w:rsidR="007C270E" w:rsidRPr="007C270E">
        <w:rPr>
          <w:bCs/>
          <w:lang w:val="en-US"/>
        </w:rPr>
        <w:t xml:space="preserve"> yang </w:t>
      </w:r>
      <w:proofErr w:type="spellStart"/>
      <w:r w:rsidR="007C270E" w:rsidRPr="007C270E">
        <w:rPr>
          <w:bCs/>
          <w:lang w:val="en-US"/>
        </w:rPr>
        <w:t>lebih</w:t>
      </w:r>
      <w:proofErr w:type="spellEnd"/>
      <w:r w:rsidR="007C270E" w:rsidRPr="007C270E">
        <w:rPr>
          <w:bCs/>
          <w:lang w:val="en-US"/>
        </w:rPr>
        <w:t xml:space="preserve"> </w:t>
      </w:r>
      <w:proofErr w:type="spellStart"/>
      <w:r w:rsidR="007C270E" w:rsidRPr="007C270E">
        <w:rPr>
          <w:bCs/>
          <w:lang w:val="en-US"/>
        </w:rPr>
        <w:t>baik</w:t>
      </w:r>
      <w:proofErr w:type="spellEnd"/>
      <w:r w:rsidR="007C270E" w:rsidRPr="007C270E">
        <w:rPr>
          <w:bCs/>
          <w:lang w:val="en-US"/>
        </w:rPr>
        <w:t xml:space="preserve">. </w:t>
      </w:r>
      <w:proofErr w:type="spellStart"/>
      <w:r w:rsidR="007C270E" w:rsidRPr="007C270E">
        <w:rPr>
          <w:bCs/>
          <w:lang w:val="en-US"/>
        </w:rPr>
        <w:t>Namun</w:t>
      </w:r>
      <w:proofErr w:type="spellEnd"/>
      <w:r w:rsidR="007C270E" w:rsidRPr="007C270E">
        <w:rPr>
          <w:bCs/>
          <w:lang w:val="en-US"/>
        </w:rPr>
        <w:t xml:space="preserve">, </w:t>
      </w:r>
      <w:proofErr w:type="spellStart"/>
      <w:r w:rsidR="007C270E" w:rsidRPr="007C270E">
        <w:rPr>
          <w:bCs/>
          <w:lang w:val="en-US"/>
        </w:rPr>
        <w:t>adaptasi</w:t>
      </w:r>
      <w:proofErr w:type="spellEnd"/>
      <w:r w:rsidR="007C270E" w:rsidRPr="007C270E">
        <w:rPr>
          <w:bCs/>
          <w:lang w:val="en-US"/>
        </w:rPr>
        <w:t xml:space="preserve"> </w:t>
      </w:r>
      <w:proofErr w:type="spellStart"/>
      <w:r w:rsidR="007C270E" w:rsidRPr="007C270E">
        <w:rPr>
          <w:bCs/>
          <w:lang w:val="en-US"/>
        </w:rPr>
        <w:t>terhadap</w:t>
      </w:r>
      <w:proofErr w:type="spellEnd"/>
      <w:r w:rsidR="007C270E" w:rsidRPr="007C270E">
        <w:rPr>
          <w:bCs/>
          <w:lang w:val="en-US"/>
        </w:rPr>
        <w:t xml:space="preserve"> </w:t>
      </w:r>
      <w:proofErr w:type="spellStart"/>
      <w:r w:rsidR="007C270E" w:rsidRPr="007C270E">
        <w:rPr>
          <w:bCs/>
          <w:lang w:val="en-US"/>
        </w:rPr>
        <w:t>perubahan</w:t>
      </w:r>
      <w:proofErr w:type="spellEnd"/>
      <w:r w:rsidR="007C270E" w:rsidRPr="007C270E">
        <w:rPr>
          <w:bCs/>
          <w:lang w:val="en-US"/>
        </w:rPr>
        <w:t xml:space="preserve"> </w:t>
      </w:r>
      <w:proofErr w:type="spellStart"/>
      <w:r w:rsidR="007C270E" w:rsidRPr="007C270E">
        <w:rPr>
          <w:bCs/>
          <w:lang w:val="en-US"/>
        </w:rPr>
        <w:t>gejala</w:t>
      </w:r>
      <w:proofErr w:type="spellEnd"/>
      <w:r w:rsidR="007C270E" w:rsidRPr="007C270E">
        <w:rPr>
          <w:bCs/>
          <w:lang w:val="en-US"/>
        </w:rPr>
        <w:t xml:space="preserve">, </w:t>
      </w:r>
      <w:proofErr w:type="spellStart"/>
      <w:r w:rsidR="007C270E" w:rsidRPr="007C270E">
        <w:rPr>
          <w:bCs/>
          <w:lang w:val="en-US"/>
        </w:rPr>
        <w:t>komplikasi</w:t>
      </w:r>
      <w:proofErr w:type="spellEnd"/>
      <w:r w:rsidR="007C270E" w:rsidRPr="007C270E">
        <w:rPr>
          <w:bCs/>
          <w:lang w:val="en-US"/>
        </w:rPr>
        <w:t xml:space="preserve">, dan </w:t>
      </w:r>
      <w:proofErr w:type="spellStart"/>
      <w:r w:rsidR="007C270E" w:rsidRPr="007C270E">
        <w:rPr>
          <w:bCs/>
          <w:lang w:val="en-US"/>
        </w:rPr>
        <w:t>prosedur</w:t>
      </w:r>
      <w:proofErr w:type="spellEnd"/>
      <w:r w:rsidR="007C270E" w:rsidRPr="007C270E">
        <w:rPr>
          <w:bCs/>
          <w:lang w:val="en-US"/>
        </w:rPr>
        <w:t xml:space="preserve"> </w:t>
      </w:r>
      <w:proofErr w:type="spellStart"/>
      <w:r w:rsidR="007C270E" w:rsidRPr="007C270E">
        <w:rPr>
          <w:bCs/>
          <w:lang w:val="en-US"/>
        </w:rPr>
        <w:t>terapi</w:t>
      </w:r>
      <w:proofErr w:type="spellEnd"/>
      <w:r w:rsidR="007C270E" w:rsidRPr="007C270E">
        <w:rPr>
          <w:bCs/>
          <w:lang w:val="en-US"/>
        </w:rPr>
        <w:t xml:space="preserve"> </w:t>
      </w:r>
      <w:proofErr w:type="spellStart"/>
      <w:r w:rsidR="007C270E" w:rsidRPr="007C270E">
        <w:rPr>
          <w:bCs/>
          <w:lang w:val="en-US"/>
        </w:rPr>
        <w:t>sering</w:t>
      </w:r>
      <w:proofErr w:type="spellEnd"/>
      <w:r w:rsidR="007C270E" w:rsidRPr="007C270E">
        <w:rPr>
          <w:bCs/>
          <w:lang w:val="en-US"/>
        </w:rPr>
        <w:t xml:space="preserve"> kali </w:t>
      </w:r>
      <w:proofErr w:type="spellStart"/>
      <w:r w:rsidR="007C270E" w:rsidRPr="007C270E">
        <w:rPr>
          <w:bCs/>
          <w:lang w:val="en-US"/>
        </w:rPr>
        <w:t>membutuhkan</w:t>
      </w:r>
      <w:proofErr w:type="spellEnd"/>
      <w:r w:rsidR="007C270E" w:rsidRPr="007C270E">
        <w:rPr>
          <w:bCs/>
          <w:lang w:val="en-US"/>
        </w:rPr>
        <w:t xml:space="preserve"> </w:t>
      </w:r>
      <w:proofErr w:type="spellStart"/>
      <w:r w:rsidR="007C270E" w:rsidRPr="007C270E">
        <w:rPr>
          <w:bCs/>
          <w:lang w:val="en-US"/>
        </w:rPr>
        <w:t>waktu</w:t>
      </w:r>
      <w:proofErr w:type="spellEnd"/>
      <w:r w:rsidR="007C270E" w:rsidRPr="007C270E">
        <w:rPr>
          <w:bCs/>
          <w:lang w:val="en-US"/>
        </w:rPr>
        <w:t xml:space="preserve"> </w:t>
      </w:r>
      <w:proofErr w:type="spellStart"/>
      <w:r w:rsidR="007C270E" w:rsidRPr="007C270E">
        <w:rPr>
          <w:bCs/>
          <w:lang w:val="en-US"/>
        </w:rPr>
        <w:t>berbeda</w:t>
      </w:r>
      <w:proofErr w:type="spellEnd"/>
      <w:r w:rsidR="007C270E" w:rsidRPr="007C270E">
        <w:rPr>
          <w:bCs/>
          <w:lang w:val="en-US"/>
        </w:rPr>
        <w:t xml:space="preserve"> pada </w:t>
      </w:r>
      <w:proofErr w:type="spellStart"/>
      <w:r w:rsidR="007C270E" w:rsidRPr="007C270E">
        <w:rPr>
          <w:bCs/>
          <w:lang w:val="en-US"/>
        </w:rPr>
        <w:t>setiap</w:t>
      </w:r>
      <w:proofErr w:type="spellEnd"/>
      <w:r w:rsidR="007C270E" w:rsidRPr="007C270E">
        <w:rPr>
          <w:bCs/>
          <w:lang w:val="en-US"/>
        </w:rPr>
        <w:t xml:space="preserve"> </w:t>
      </w:r>
      <w:proofErr w:type="spellStart"/>
      <w:r w:rsidR="007C270E" w:rsidRPr="007C270E">
        <w:rPr>
          <w:bCs/>
          <w:lang w:val="en-US"/>
        </w:rPr>
        <w:t>individu</w:t>
      </w:r>
      <w:proofErr w:type="spellEnd"/>
      <w:r w:rsidR="007C270E" w:rsidRPr="007C270E">
        <w:rPr>
          <w:bCs/>
          <w:lang w:val="en-US"/>
        </w:rPr>
        <w:t>.</w:t>
      </w:r>
    </w:p>
    <w:p w14:paraId="664CB71D" w14:textId="2F28FFDE" w:rsidR="007C270E" w:rsidRPr="007C270E" w:rsidRDefault="007C270E" w:rsidP="007C270E">
      <w:pPr>
        <w:pStyle w:val="BodyText"/>
        <w:spacing w:line="360" w:lineRule="auto"/>
        <w:ind w:left="426" w:firstLine="751"/>
        <w:jc w:val="both"/>
        <w:rPr>
          <w:bCs/>
          <w:lang w:val="en-US"/>
        </w:rPr>
      </w:pPr>
      <w:r w:rsidRPr="007C270E">
        <w:rPr>
          <w:bCs/>
          <w:lang w:val="en-US"/>
        </w:rPr>
        <w:t xml:space="preserve"> </w:t>
      </w:r>
      <w:proofErr w:type="spellStart"/>
      <w:r w:rsidRPr="007C270E">
        <w:rPr>
          <w:bCs/>
          <w:lang w:val="en-US"/>
        </w:rPr>
        <w:t>Menurut</w:t>
      </w:r>
      <w:proofErr w:type="spellEnd"/>
      <w:r w:rsidRPr="007C270E">
        <w:rPr>
          <w:bCs/>
          <w:lang w:val="en-US"/>
        </w:rPr>
        <w:t xml:space="preserve"> World Health Organization (2019), </w:t>
      </w:r>
      <w:proofErr w:type="spellStart"/>
      <w:r w:rsidRPr="007C270E">
        <w:rPr>
          <w:bCs/>
          <w:lang w:val="en-US"/>
        </w:rPr>
        <w:t>prevalensi</w:t>
      </w:r>
      <w:proofErr w:type="spellEnd"/>
      <w:r w:rsidRPr="007C270E">
        <w:rPr>
          <w:bCs/>
          <w:lang w:val="en-US"/>
        </w:rPr>
        <w:t xml:space="preserve"> </w:t>
      </w:r>
      <w:proofErr w:type="spellStart"/>
      <w:r w:rsidRPr="007C270E">
        <w:rPr>
          <w:bCs/>
          <w:lang w:val="en-US"/>
        </w:rPr>
        <w:t>gagal</w:t>
      </w:r>
      <w:proofErr w:type="spellEnd"/>
      <w:r w:rsidRPr="007C270E">
        <w:rPr>
          <w:bCs/>
          <w:lang w:val="en-US"/>
        </w:rPr>
        <w:t xml:space="preserve"> </w:t>
      </w:r>
      <w:proofErr w:type="spellStart"/>
      <w:r w:rsidRPr="007C270E">
        <w:rPr>
          <w:bCs/>
          <w:lang w:val="en-US"/>
        </w:rPr>
        <w:t>ginjal</w:t>
      </w:r>
      <w:proofErr w:type="spellEnd"/>
      <w:r w:rsidRPr="007C270E">
        <w:rPr>
          <w:bCs/>
          <w:lang w:val="en-US"/>
        </w:rPr>
        <w:t xml:space="preserve"> </w:t>
      </w:r>
      <w:proofErr w:type="spellStart"/>
      <w:r w:rsidRPr="007C270E">
        <w:rPr>
          <w:bCs/>
          <w:lang w:val="en-US"/>
        </w:rPr>
        <w:t>kronik</w:t>
      </w:r>
      <w:proofErr w:type="spellEnd"/>
      <w:r w:rsidRPr="007C270E">
        <w:rPr>
          <w:bCs/>
          <w:lang w:val="en-US"/>
        </w:rPr>
        <w:t xml:space="preserve"> </w:t>
      </w:r>
      <w:proofErr w:type="spellStart"/>
      <w:r w:rsidRPr="007C270E">
        <w:rPr>
          <w:bCs/>
          <w:lang w:val="en-US"/>
        </w:rPr>
        <w:t>mencapai</w:t>
      </w:r>
      <w:proofErr w:type="spellEnd"/>
      <w:r w:rsidRPr="007C270E">
        <w:rPr>
          <w:bCs/>
          <w:lang w:val="en-US"/>
        </w:rPr>
        <w:t xml:space="preserve"> 15% </w:t>
      </w:r>
      <w:proofErr w:type="spellStart"/>
      <w:r w:rsidRPr="007C270E">
        <w:rPr>
          <w:bCs/>
          <w:lang w:val="en-US"/>
        </w:rPr>
        <w:t>dari</w:t>
      </w:r>
      <w:proofErr w:type="spellEnd"/>
      <w:r w:rsidRPr="007C270E">
        <w:rPr>
          <w:bCs/>
          <w:lang w:val="en-US"/>
        </w:rPr>
        <w:t xml:space="preserve"> </w:t>
      </w:r>
      <w:proofErr w:type="spellStart"/>
      <w:r w:rsidRPr="007C270E">
        <w:rPr>
          <w:bCs/>
          <w:lang w:val="en-US"/>
        </w:rPr>
        <w:t>populasi</w:t>
      </w:r>
      <w:proofErr w:type="spellEnd"/>
      <w:r w:rsidRPr="007C270E">
        <w:rPr>
          <w:bCs/>
          <w:lang w:val="en-US"/>
        </w:rPr>
        <w:t xml:space="preserve"> global dan </w:t>
      </w:r>
      <w:proofErr w:type="spellStart"/>
      <w:r w:rsidRPr="007C270E">
        <w:rPr>
          <w:bCs/>
          <w:lang w:val="en-US"/>
        </w:rPr>
        <w:t>menyebabkan</w:t>
      </w:r>
      <w:proofErr w:type="spellEnd"/>
      <w:r w:rsidRPr="007C270E">
        <w:rPr>
          <w:bCs/>
          <w:lang w:val="en-US"/>
        </w:rPr>
        <w:t xml:space="preserve"> </w:t>
      </w:r>
      <w:proofErr w:type="spellStart"/>
      <w:r w:rsidRPr="007C270E">
        <w:rPr>
          <w:bCs/>
          <w:lang w:val="en-US"/>
        </w:rPr>
        <w:t>sekitar</w:t>
      </w:r>
      <w:proofErr w:type="spellEnd"/>
      <w:r w:rsidRPr="007C270E">
        <w:rPr>
          <w:bCs/>
          <w:lang w:val="en-US"/>
        </w:rPr>
        <w:t xml:space="preserve"> 1,2 </w:t>
      </w:r>
      <w:proofErr w:type="spellStart"/>
      <w:r w:rsidRPr="007C270E">
        <w:rPr>
          <w:bCs/>
          <w:lang w:val="en-US"/>
        </w:rPr>
        <w:t>juta</w:t>
      </w:r>
      <w:proofErr w:type="spellEnd"/>
      <w:r w:rsidRPr="007C270E">
        <w:rPr>
          <w:bCs/>
          <w:lang w:val="en-US"/>
        </w:rPr>
        <w:t xml:space="preserve"> </w:t>
      </w:r>
      <w:proofErr w:type="spellStart"/>
      <w:r w:rsidRPr="007C270E">
        <w:rPr>
          <w:bCs/>
          <w:lang w:val="en-US"/>
        </w:rPr>
        <w:t>kematian</w:t>
      </w:r>
      <w:proofErr w:type="spellEnd"/>
      <w:r w:rsidRPr="007C270E">
        <w:rPr>
          <w:bCs/>
          <w:lang w:val="en-US"/>
        </w:rPr>
        <w:t xml:space="preserve">. </w:t>
      </w:r>
      <w:proofErr w:type="spellStart"/>
      <w:r w:rsidRPr="007C270E">
        <w:rPr>
          <w:bCs/>
          <w:lang w:val="en-US"/>
        </w:rPr>
        <w:t>Jumlah</w:t>
      </w:r>
      <w:proofErr w:type="spellEnd"/>
      <w:r w:rsidRPr="007C270E">
        <w:rPr>
          <w:bCs/>
          <w:lang w:val="en-US"/>
        </w:rPr>
        <w:t xml:space="preserve"> </w:t>
      </w:r>
      <w:proofErr w:type="spellStart"/>
      <w:r w:rsidRPr="007C270E">
        <w:rPr>
          <w:bCs/>
          <w:lang w:val="en-US"/>
        </w:rPr>
        <w:t>ini</w:t>
      </w:r>
      <w:proofErr w:type="spellEnd"/>
      <w:r w:rsidRPr="007C270E">
        <w:rPr>
          <w:bCs/>
          <w:lang w:val="en-US"/>
        </w:rPr>
        <w:t xml:space="preserve"> </w:t>
      </w:r>
      <w:proofErr w:type="spellStart"/>
      <w:r w:rsidRPr="007C270E">
        <w:rPr>
          <w:bCs/>
          <w:lang w:val="en-US"/>
        </w:rPr>
        <w:t>terus</w:t>
      </w:r>
      <w:proofErr w:type="spellEnd"/>
      <w:r w:rsidRPr="007C270E">
        <w:rPr>
          <w:bCs/>
          <w:lang w:val="en-US"/>
        </w:rPr>
        <w:t xml:space="preserve"> </w:t>
      </w:r>
      <w:proofErr w:type="spellStart"/>
      <w:r w:rsidRPr="007C270E">
        <w:rPr>
          <w:bCs/>
          <w:lang w:val="en-US"/>
        </w:rPr>
        <w:t>meningkat</w:t>
      </w:r>
      <w:proofErr w:type="spellEnd"/>
      <w:r w:rsidRPr="007C270E">
        <w:rPr>
          <w:bCs/>
          <w:lang w:val="en-US"/>
        </w:rPr>
        <w:t xml:space="preserve">, </w:t>
      </w:r>
      <w:proofErr w:type="spellStart"/>
      <w:r w:rsidRPr="007C270E">
        <w:rPr>
          <w:bCs/>
          <w:lang w:val="en-US"/>
        </w:rPr>
        <w:t>yakni</w:t>
      </w:r>
      <w:proofErr w:type="spellEnd"/>
      <w:r w:rsidRPr="007C270E">
        <w:rPr>
          <w:bCs/>
          <w:lang w:val="en-US"/>
        </w:rPr>
        <w:t xml:space="preserve"> 254.028 </w:t>
      </w:r>
      <w:proofErr w:type="spellStart"/>
      <w:r w:rsidRPr="007C270E">
        <w:rPr>
          <w:bCs/>
          <w:lang w:val="en-US"/>
        </w:rPr>
        <w:t>kasus</w:t>
      </w:r>
      <w:proofErr w:type="spellEnd"/>
      <w:r w:rsidRPr="007C270E">
        <w:rPr>
          <w:bCs/>
          <w:lang w:val="en-US"/>
        </w:rPr>
        <w:t xml:space="preserve"> pada </w:t>
      </w:r>
      <w:proofErr w:type="spellStart"/>
      <w:r w:rsidRPr="007C270E">
        <w:rPr>
          <w:bCs/>
          <w:lang w:val="en-US"/>
        </w:rPr>
        <w:t>tahun</w:t>
      </w:r>
      <w:proofErr w:type="spellEnd"/>
      <w:r w:rsidRPr="007C270E">
        <w:rPr>
          <w:bCs/>
          <w:lang w:val="en-US"/>
        </w:rPr>
        <w:t xml:space="preserve"> 2020 dan 843,6 </w:t>
      </w:r>
      <w:proofErr w:type="spellStart"/>
      <w:r w:rsidRPr="007C270E">
        <w:rPr>
          <w:bCs/>
          <w:lang w:val="en-US"/>
        </w:rPr>
        <w:t>juta</w:t>
      </w:r>
      <w:proofErr w:type="spellEnd"/>
      <w:r w:rsidRPr="007C270E">
        <w:rPr>
          <w:bCs/>
          <w:lang w:val="en-US"/>
        </w:rPr>
        <w:t xml:space="preserve"> pada 2021, </w:t>
      </w:r>
      <w:proofErr w:type="spellStart"/>
      <w:r w:rsidRPr="007C270E">
        <w:rPr>
          <w:bCs/>
          <w:lang w:val="en-US"/>
        </w:rPr>
        <w:t>serta</w:t>
      </w:r>
      <w:proofErr w:type="spellEnd"/>
      <w:r w:rsidRPr="007C270E">
        <w:rPr>
          <w:bCs/>
          <w:lang w:val="en-US"/>
        </w:rPr>
        <w:t xml:space="preserve"> </w:t>
      </w:r>
      <w:proofErr w:type="spellStart"/>
      <w:r w:rsidRPr="007C270E">
        <w:rPr>
          <w:bCs/>
          <w:lang w:val="en-US"/>
        </w:rPr>
        <w:t>diperkirakan</w:t>
      </w:r>
      <w:proofErr w:type="spellEnd"/>
      <w:r w:rsidRPr="007C270E">
        <w:rPr>
          <w:bCs/>
          <w:lang w:val="en-US"/>
        </w:rPr>
        <w:t xml:space="preserve"> </w:t>
      </w:r>
      <w:proofErr w:type="spellStart"/>
      <w:r w:rsidRPr="007C270E">
        <w:rPr>
          <w:bCs/>
          <w:lang w:val="en-US"/>
        </w:rPr>
        <w:t>bertambah</w:t>
      </w:r>
      <w:proofErr w:type="spellEnd"/>
      <w:r w:rsidRPr="007C270E">
        <w:rPr>
          <w:bCs/>
          <w:lang w:val="en-US"/>
        </w:rPr>
        <w:t xml:space="preserve"> </w:t>
      </w:r>
      <w:proofErr w:type="spellStart"/>
      <w:r w:rsidRPr="007C270E">
        <w:rPr>
          <w:bCs/>
          <w:lang w:val="en-US"/>
        </w:rPr>
        <w:t>hingga</w:t>
      </w:r>
      <w:proofErr w:type="spellEnd"/>
      <w:r w:rsidRPr="007C270E">
        <w:rPr>
          <w:bCs/>
          <w:lang w:val="en-US"/>
        </w:rPr>
        <w:t xml:space="preserve"> 41,5% pada </w:t>
      </w:r>
      <w:proofErr w:type="spellStart"/>
      <w:r w:rsidRPr="007C270E">
        <w:rPr>
          <w:bCs/>
          <w:lang w:val="en-US"/>
        </w:rPr>
        <w:t>tahun</w:t>
      </w:r>
      <w:proofErr w:type="spellEnd"/>
      <w:r w:rsidRPr="007C270E">
        <w:rPr>
          <w:bCs/>
          <w:lang w:val="en-US"/>
        </w:rPr>
        <w:t xml:space="preserve"> 2040. </w:t>
      </w:r>
      <w:proofErr w:type="spellStart"/>
      <w:r w:rsidRPr="007C270E">
        <w:rPr>
          <w:bCs/>
          <w:lang w:val="en-US"/>
        </w:rPr>
        <w:t>Gagal</w:t>
      </w:r>
      <w:proofErr w:type="spellEnd"/>
      <w:r w:rsidRPr="007C270E">
        <w:rPr>
          <w:bCs/>
          <w:lang w:val="en-US"/>
        </w:rPr>
        <w:t xml:space="preserve"> </w:t>
      </w:r>
      <w:proofErr w:type="spellStart"/>
      <w:r w:rsidRPr="007C270E">
        <w:rPr>
          <w:bCs/>
          <w:lang w:val="en-US"/>
        </w:rPr>
        <w:t>ginjal</w:t>
      </w:r>
      <w:proofErr w:type="spellEnd"/>
      <w:r w:rsidRPr="007C270E">
        <w:rPr>
          <w:bCs/>
          <w:lang w:val="en-US"/>
        </w:rPr>
        <w:t xml:space="preserve"> </w:t>
      </w:r>
      <w:proofErr w:type="spellStart"/>
      <w:r w:rsidRPr="007C270E">
        <w:rPr>
          <w:bCs/>
          <w:lang w:val="en-US"/>
        </w:rPr>
        <w:t>kronik</w:t>
      </w:r>
      <w:proofErr w:type="spellEnd"/>
      <w:r w:rsidRPr="007C270E">
        <w:rPr>
          <w:bCs/>
          <w:lang w:val="en-US"/>
        </w:rPr>
        <w:t xml:space="preserve"> </w:t>
      </w:r>
      <w:proofErr w:type="spellStart"/>
      <w:r w:rsidRPr="007C270E">
        <w:rPr>
          <w:bCs/>
          <w:lang w:val="en-US"/>
        </w:rPr>
        <w:t>bahkan</w:t>
      </w:r>
      <w:proofErr w:type="spellEnd"/>
      <w:r w:rsidRPr="007C270E">
        <w:rPr>
          <w:bCs/>
          <w:lang w:val="en-US"/>
        </w:rPr>
        <w:t xml:space="preserve"> </w:t>
      </w:r>
      <w:proofErr w:type="spellStart"/>
      <w:r w:rsidRPr="007C270E">
        <w:rPr>
          <w:bCs/>
          <w:lang w:val="en-US"/>
        </w:rPr>
        <w:t>menempati</w:t>
      </w:r>
      <w:proofErr w:type="spellEnd"/>
      <w:r w:rsidRPr="007C270E">
        <w:rPr>
          <w:bCs/>
          <w:lang w:val="en-US"/>
        </w:rPr>
        <w:t xml:space="preserve"> </w:t>
      </w:r>
      <w:proofErr w:type="spellStart"/>
      <w:r w:rsidRPr="007C270E">
        <w:rPr>
          <w:bCs/>
          <w:lang w:val="en-US"/>
        </w:rPr>
        <w:t>peringkat</w:t>
      </w:r>
      <w:proofErr w:type="spellEnd"/>
      <w:r w:rsidRPr="007C270E">
        <w:rPr>
          <w:bCs/>
          <w:lang w:val="en-US"/>
        </w:rPr>
        <w:t xml:space="preserve"> ke-12 </w:t>
      </w:r>
      <w:proofErr w:type="spellStart"/>
      <w:r w:rsidRPr="007C270E">
        <w:rPr>
          <w:bCs/>
          <w:lang w:val="en-US"/>
        </w:rPr>
        <w:t>penyebab</w:t>
      </w:r>
      <w:proofErr w:type="spellEnd"/>
      <w:r w:rsidRPr="007C270E">
        <w:rPr>
          <w:bCs/>
          <w:lang w:val="en-US"/>
        </w:rPr>
        <w:t xml:space="preserve"> </w:t>
      </w:r>
      <w:proofErr w:type="spellStart"/>
      <w:r w:rsidRPr="007C270E">
        <w:rPr>
          <w:bCs/>
          <w:lang w:val="en-US"/>
        </w:rPr>
        <w:t>kematian</w:t>
      </w:r>
      <w:proofErr w:type="spellEnd"/>
      <w:r w:rsidRPr="007C270E">
        <w:rPr>
          <w:bCs/>
          <w:lang w:val="en-US"/>
        </w:rPr>
        <w:t xml:space="preserve"> </w:t>
      </w:r>
      <w:proofErr w:type="spellStart"/>
      <w:r w:rsidRPr="007C270E">
        <w:rPr>
          <w:bCs/>
          <w:lang w:val="en-US"/>
        </w:rPr>
        <w:t>terbanyak</w:t>
      </w:r>
      <w:proofErr w:type="spellEnd"/>
      <w:r w:rsidRPr="007C270E">
        <w:rPr>
          <w:bCs/>
          <w:lang w:val="en-US"/>
        </w:rPr>
        <w:t xml:space="preserve"> di dunia (WHO, 2021). Di </w:t>
      </w:r>
      <w:r w:rsidRPr="007C270E">
        <w:rPr>
          <w:bCs/>
          <w:lang w:val="en-US"/>
        </w:rPr>
        <w:lastRenderedPageBreak/>
        <w:t xml:space="preserve">Indonesia, data Kementerian Kesehatan (2023) </w:t>
      </w:r>
      <w:proofErr w:type="spellStart"/>
      <w:r w:rsidRPr="007C270E">
        <w:rPr>
          <w:bCs/>
          <w:lang w:val="en-US"/>
        </w:rPr>
        <w:t>mencatat</w:t>
      </w:r>
      <w:proofErr w:type="spellEnd"/>
      <w:r w:rsidRPr="007C270E">
        <w:rPr>
          <w:bCs/>
          <w:lang w:val="en-US"/>
        </w:rPr>
        <w:t xml:space="preserve"> </w:t>
      </w:r>
      <w:proofErr w:type="spellStart"/>
      <w:r w:rsidRPr="007C270E">
        <w:rPr>
          <w:bCs/>
          <w:lang w:val="en-US"/>
        </w:rPr>
        <w:t>jumlah</w:t>
      </w:r>
      <w:proofErr w:type="spellEnd"/>
      <w:r w:rsidRPr="007C270E">
        <w:rPr>
          <w:bCs/>
          <w:lang w:val="en-US"/>
        </w:rPr>
        <w:t xml:space="preserve"> </w:t>
      </w:r>
      <w:proofErr w:type="spellStart"/>
      <w:r w:rsidRPr="007C270E">
        <w:rPr>
          <w:bCs/>
          <w:lang w:val="en-US"/>
        </w:rPr>
        <w:t>kasus</w:t>
      </w:r>
      <w:proofErr w:type="spellEnd"/>
      <w:r w:rsidRPr="007C270E">
        <w:rPr>
          <w:bCs/>
          <w:lang w:val="en-US"/>
        </w:rPr>
        <w:t xml:space="preserve"> </w:t>
      </w:r>
      <w:proofErr w:type="spellStart"/>
      <w:r w:rsidRPr="007C270E">
        <w:rPr>
          <w:bCs/>
          <w:lang w:val="en-US"/>
        </w:rPr>
        <w:t>gagal</w:t>
      </w:r>
      <w:proofErr w:type="spellEnd"/>
      <w:r w:rsidRPr="007C270E">
        <w:rPr>
          <w:bCs/>
          <w:lang w:val="en-US"/>
        </w:rPr>
        <w:t xml:space="preserve"> </w:t>
      </w:r>
      <w:proofErr w:type="spellStart"/>
      <w:r w:rsidRPr="007C270E">
        <w:rPr>
          <w:bCs/>
          <w:lang w:val="en-US"/>
        </w:rPr>
        <w:t>ginjal</w:t>
      </w:r>
      <w:proofErr w:type="spellEnd"/>
      <w:r w:rsidRPr="007C270E">
        <w:rPr>
          <w:bCs/>
          <w:lang w:val="en-US"/>
        </w:rPr>
        <w:t xml:space="preserve"> </w:t>
      </w:r>
      <w:proofErr w:type="spellStart"/>
      <w:r w:rsidRPr="007C270E">
        <w:rPr>
          <w:bCs/>
          <w:lang w:val="en-US"/>
        </w:rPr>
        <w:t>sebanyak</w:t>
      </w:r>
      <w:proofErr w:type="spellEnd"/>
      <w:r w:rsidRPr="007C270E">
        <w:rPr>
          <w:bCs/>
          <w:lang w:val="en-US"/>
        </w:rPr>
        <w:t xml:space="preserve"> 1.501.016 orang. </w:t>
      </w:r>
      <w:proofErr w:type="spellStart"/>
      <w:r w:rsidRPr="007C270E">
        <w:rPr>
          <w:bCs/>
          <w:lang w:val="en-US"/>
        </w:rPr>
        <w:t>Perhimpunan</w:t>
      </w:r>
      <w:proofErr w:type="spellEnd"/>
      <w:r w:rsidRPr="007C270E">
        <w:rPr>
          <w:bCs/>
          <w:lang w:val="en-US"/>
        </w:rPr>
        <w:t xml:space="preserve"> </w:t>
      </w:r>
      <w:proofErr w:type="spellStart"/>
      <w:r w:rsidRPr="007C270E">
        <w:rPr>
          <w:bCs/>
          <w:lang w:val="en-US"/>
        </w:rPr>
        <w:t>Nefrologi</w:t>
      </w:r>
      <w:proofErr w:type="spellEnd"/>
      <w:r w:rsidRPr="007C270E">
        <w:rPr>
          <w:bCs/>
          <w:lang w:val="en-US"/>
        </w:rPr>
        <w:t xml:space="preserve"> Indonesia (</w:t>
      </w:r>
      <w:proofErr w:type="spellStart"/>
      <w:r w:rsidRPr="007C270E">
        <w:rPr>
          <w:bCs/>
          <w:lang w:val="en-US"/>
        </w:rPr>
        <w:t>Pernefri</w:t>
      </w:r>
      <w:proofErr w:type="spellEnd"/>
      <w:r w:rsidRPr="007C270E">
        <w:rPr>
          <w:bCs/>
          <w:lang w:val="en-US"/>
        </w:rPr>
        <w:t xml:space="preserve">, 2020) </w:t>
      </w:r>
      <w:proofErr w:type="spellStart"/>
      <w:r w:rsidRPr="007C270E">
        <w:rPr>
          <w:bCs/>
          <w:lang w:val="en-US"/>
        </w:rPr>
        <w:t>melaporkan</w:t>
      </w:r>
      <w:proofErr w:type="spellEnd"/>
      <w:r w:rsidRPr="007C270E">
        <w:rPr>
          <w:bCs/>
          <w:lang w:val="en-US"/>
        </w:rPr>
        <w:t xml:space="preserve"> </w:t>
      </w:r>
      <w:proofErr w:type="spellStart"/>
      <w:r w:rsidRPr="007C270E">
        <w:rPr>
          <w:bCs/>
          <w:lang w:val="en-US"/>
        </w:rPr>
        <w:t>bahwa</w:t>
      </w:r>
      <w:proofErr w:type="spellEnd"/>
      <w:r w:rsidRPr="007C270E">
        <w:rPr>
          <w:bCs/>
          <w:lang w:val="en-US"/>
        </w:rPr>
        <w:t xml:space="preserve"> </w:t>
      </w:r>
      <w:proofErr w:type="spellStart"/>
      <w:r w:rsidRPr="007C270E">
        <w:rPr>
          <w:bCs/>
          <w:lang w:val="en-US"/>
        </w:rPr>
        <w:t>sekitar</w:t>
      </w:r>
      <w:proofErr w:type="spellEnd"/>
      <w:r w:rsidRPr="007C270E">
        <w:rPr>
          <w:bCs/>
          <w:lang w:val="en-US"/>
        </w:rPr>
        <w:t xml:space="preserve"> 25 </w:t>
      </w:r>
      <w:proofErr w:type="spellStart"/>
      <w:r w:rsidRPr="007C270E">
        <w:rPr>
          <w:bCs/>
          <w:lang w:val="en-US"/>
        </w:rPr>
        <w:t>juta</w:t>
      </w:r>
      <w:proofErr w:type="spellEnd"/>
      <w:r w:rsidRPr="007C270E">
        <w:rPr>
          <w:bCs/>
          <w:lang w:val="en-US"/>
        </w:rPr>
        <w:t xml:space="preserve"> </w:t>
      </w:r>
      <w:proofErr w:type="spellStart"/>
      <w:r w:rsidRPr="007C270E">
        <w:rPr>
          <w:bCs/>
          <w:lang w:val="en-US"/>
        </w:rPr>
        <w:t>penduduk</w:t>
      </w:r>
      <w:proofErr w:type="spellEnd"/>
      <w:r w:rsidRPr="007C270E">
        <w:rPr>
          <w:bCs/>
          <w:lang w:val="en-US"/>
        </w:rPr>
        <w:t xml:space="preserve"> (12,5%) </w:t>
      </w:r>
      <w:proofErr w:type="spellStart"/>
      <w:r w:rsidRPr="007C270E">
        <w:rPr>
          <w:bCs/>
          <w:lang w:val="en-US"/>
        </w:rPr>
        <w:t>mengalami</w:t>
      </w:r>
      <w:proofErr w:type="spellEnd"/>
      <w:r w:rsidRPr="007C270E">
        <w:rPr>
          <w:bCs/>
          <w:lang w:val="en-US"/>
        </w:rPr>
        <w:t xml:space="preserve"> </w:t>
      </w:r>
      <w:proofErr w:type="spellStart"/>
      <w:r w:rsidRPr="007C270E">
        <w:rPr>
          <w:bCs/>
          <w:lang w:val="en-US"/>
        </w:rPr>
        <w:t>penurunan</w:t>
      </w:r>
      <w:proofErr w:type="spellEnd"/>
      <w:r w:rsidRPr="007C270E">
        <w:rPr>
          <w:bCs/>
          <w:lang w:val="en-US"/>
        </w:rPr>
        <w:t xml:space="preserve"> </w:t>
      </w:r>
      <w:proofErr w:type="spellStart"/>
      <w:r w:rsidRPr="007C270E">
        <w:rPr>
          <w:bCs/>
          <w:lang w:val="en-US"/>
        </w:rPr>
        <w:t>fungsi</w:t>
      </w:r>
      <w:proofErr w:type="spellEnd"/>
      <w:r w:rsidRPr="007C270E">
        <w:rPr>
          <w:bCs/>
          <w:lang w:val="en-US"/>
        </w:rPr>
        <w:t xml:space="preserve"> </w:t>
      </w:r>
      <w:proofErr w:type="spellStart"/>
      <w:r w:rsidRPr="007C270E">
        <w:rPr>
          <w:bCs/>
          <w:lang w:val="en-US"/>
        </w:rPr>
        <w:t>ginjal</w:t>
      </w:r>
      <w:proofErr w:type="spellEnd"/>
      <w:r w:rsidRPr="007C270E">
        <w:rPr>
          <w:bCs/>
          <w:lang w:val="en-US"/>
        </w:rPr>
        <w:t xml:space="preserve">. Hasil </w:t>
      </w:r>
      <w:proofErr w:type="spellStart"/>
      <w:r w:rsidRPr="007C270E">
        <w:rPr>
          <w:bCs/>
          <w:lang w:val="en-US"/>
        </w:rPr>
        <w:t>Riskesdas</w:t>
      </w:r>
      <w:proofErr w:type="spellEnd"/>
      <w:r w:rsidRPr="007C270E">
        <w:rPr>
          <w:bCs/>
          <w:lang w:val="en-US"/>
        </w:rPr>
        <w:t xml:space="preserve"> 2018 juga </w:t>
      </w:r>
      <w:proofErr w:type="spellStart"/>
      <w:r w:rsidRPr="007C270E">
        <w:rPr>
          <w:bCs/>
          <w:lang w:val="en-US"/>
        </w:rPr>
        <w:t>menunjukkan</w:t>
      </w:r>
      <w:proofErr w:type="spellEnd"/>
      <w:r w:rsidRPr="007C270E">
        <w:rPr>
          <w:bCs/>
          <w:lang w:val="en-US"/>
        </w:rPr>
        <w:t xml:space="preserve"> </w:t>
      </w:r>
      <w:proofErr w:type="spellStart"/>
      <w:r w:rsidRPr="007C270E">
        <w:rPr>
          <w:bCs/>
          <w:lang w:val="en-US"/>
        </w:rPr>
        <w:t>prevalensi</w:t>
      </w:r>
      <w:proofErr w:type="spellEnd"/>
      <w:r w:rsidRPr="007C270E">
        <w:rPr>
          <w:bCs/>
          <w:lang w:val="en-US"/>
        </w:rPr>
        <w:t xml:space="preserve"> </w:t>
      </w:r>
      <w:proofErr w:type="spellStart"/>
      <w:r w:rsidRPr="007C270E">
        <w:rPr>
          <w:bCs/>
          <w:lang w:val="en-US"/>
        </w:rPr>
        <w:t>gagal</w:t>
      </w:r>
      <w:proofErr w:type="spellEnd"/>
      <w:r w:rsidRPr="007C270E">
        <w:rPr>
          <w:bCs/>
          <w:lang w:val="en-US"/>
        </w:rPr>
        <w:t xml:space="preserve"> </w:t>
      </w:r>
      <w:proofErr w:type="spellStart"/>
      <w:r w:rsidRPr="007C270E">
        <w:rPr>
          <w:bCs/>
          <w:lang w:val="en-US"/>
        </w:rPr>
        <w:t>ginjal</w:t>
      </w:r>
      <w:proofErr w:type="spellEnd"/>
      <w:r w:rsidRPr="007C270E">
        <w:rPr>
          <w:bCs/>
          <w:lang w:val="en-US"/>
        </w:rPr>
        <w:t xml:space="preserve"> </w:t>
      </w:r>
      <w:proofErr w:type="spellStart"/>
      <w:r w:rsidRPr="007C270E">
        <w:rPr>
          <w:bCs/>
          <w:lang w:val="en-US"/>
        </w:rPr>
        <w:t>kronik</w:t>
      </w:r>
      <w:proofErr w:type="spellEnd"/>
      <w:r w:rsidRPr="007C270E">
        <w:rPr>
          <w:bCs/>
          <w:lang w:val="en-US"/>
        </w:rPr>
        <w:t xml:space="preserve"> </w:t>
      </w:r>
      <w:proofErr w:type="spellStart"/>
      <w:r w:rsidRPr="007C270E">
        <w:rPr>
          <w:bCs/>
          <w:lang w:val="en-US"/>
        </w:rPr>
        <w:t>sebesar</w:t>
      </w:r>
      <w:proofErr w:type="spellEnd"/>
      <w:r w:rsidRPr="007C270E">
        <w:rPr>
          <w:bCs/>
          <w:lang w:val="en-US"/>
        </w:rPr>
        <w:t xml:space="preserve"> 0,38% </w:t>
      </w:r>
      <w:proofErr w:type="spellStart"/>
      <w:r w:rsidRPr="007C270E">
        <w:rPr>
          <w:bCs/>
          <w:lang w:val="en-US"/>
        </w:rPr>
        <w:t>atau</w:t>
      </w:r>
      <w:proofErr w:type="spellEnd"/>
      <w:r w:rsidRPr="007C270E">
        <w:rPr>
          <w:bCs/>
          <w:lang w:val="en-US"/>
        </w:rPr>
        <w:t xml:space="preserve"> 3,8 per 1.000 </w:t>
      </w:r>
      <w:proofErr w:type="spellStart"/>
      <w:r w:rsidRPr="007C270E">
        <w:rPr>
          <w:bCs/>
          <w:lang w:val="en-US"/>
        </w:rPr>
        <w:t>penduduk</w:t>
      </w:r>
      <w:proofErr w:type="spellEnd"/>
      <w:r w:rsidRPr="007C270E">
        <w:rPr>
          <w:bCs/>
          <w:lang w:val="en-US"/>
        </w:rPr>
        <w:t xml:space="preserve">, </w:t>
      </w:r>
      <w:proofErr w:type="spellStart"/>
      <w:r w:rsidRPr="007C270E">
        <w:rPr>
          <w:bCs/>
          <w:lang w:val="en-US"/>
        </w:rPr>
        <w:t>dengan</w:t>
      </w:r>
      <w:proofErr w:type="spellEnd"/>
      <w:r w:rsidRPr="007C270E">
        <w:rPr>
          <w:bCs/>
          <w:lang w:val="en-US"/>
        </w:rPr>
        <w:t xml:space="preserve"> 60% di </w:t>
      </w:r>
      <w:proofErr w:type="spellStart"/>
      <w:r w:rsidRPr="007C270E">
        <w:rPr>
          <w:bCs/>
          <w:lang w:val="en-US"/>
        </w:rPr>
        <w:t>antaranya</w:t>
      </w:r>
      <w:proofErr w:type="spellEnd"/>
      <w:r w:rsidRPr="007C270E">
        <w:rPr>
          <w:bCs/>
          <w:lang w:val="en-US"/>
        </w:rPr>
        <w:t xml:space="preserve"> </w:t>
      </w:r>
      <w:proofErr w:type="spellStart"/>
      <w:r w:rsidRPr="007C270E">
        <w:rPr>
          <w:bCs/>
          <w:lang w:val="en-US"/>
        </w:rPr>
        <w:t>memerlukan</w:t>
      </w:r>
      <w:proofErr w:type="spellEnd"/>
      <w:r w:rsidRPr="007C270E">
        <w:rPr>
          <w:bCs/>
          <w:lang w:val="en-US"/>
        </w:rPr>
        <w:t xml:space="preserve"> </w:t>
      </w:r>
      <w:proofErr w:type="spellStart"/>
      <w:r w:rsidRPr="007C270E">
        <w:rPr>
          <w:bCs/>
          <w:lang w:val="en-US"/>
        </w:rPr>
        <w:t>dialisis</w:t>
      </w:r>
      <w:proofErr w:type="spellEnd"/>
      <w:r w:rsidRPr="007C270E">
        <w:rPr>
          <w:bCs/>
          <w:lang w:val="en-US"/>
        </w:rPr>
        <w:t xml:space="preserve">. Di Jawa Tengah, Dinas Kesehatan (2023) </w:t>
      </w:r>
      <w:proofErr w:type="spellStart"/>
      <w:r w:rsidRPr="007C270E">
        <w:rPr>
          <w:bCs/>
          <w:lang w:val="en-US"/>
        </w:rPr>
        <w:t>melaporkan</w:t>
      </w:r>
      <w:proofErr w:type="spellEnd"/>
      <w:r w:rsidRPr="007C270E">
        <w:rPr>
          <w:bCs/>
          <w:lang w:val="en-US"/>
        </w:rPr>
        <w:t xml:space="preserve"> </w:t>
      </w:r>
      <w:proofErr w:type="spellStart"/>
      <w:r w:rsidRPr="007C270E">
        <w:rPr>
          <w:bCs/>
          <w:lang w:val="en-US"/>
        </w:rPr>
        <w:t>kasus</w:t>
      </w:r>
      <w:proofErr w:type="spellEnd"/>
      <w:r w:rsidRPr="007C270E">
        <w:rPr>
          <w:bCs/>
          <w:lang w:val="en-US"/>
        </w:rPr>
        <w:t xml:space="preserve"> </w:t>
      </w:r>
      <w:proofErr w:type="spellStart"/>
      <w:r w:rsidRPr="007C270E">
        <w:rPr>
          <w:bCs/>
          <w:lang w:val="en-US"/>
        </w:rPr>
        <w:t>gagal</w:t>
      </w:r>
      <w:proofErr w:type="spellEnd"/>
      <w:r w:rsidRPr="007C270E">
        <w:rPr>
          <w:bCs/>
          <w:lang w:val="en-US"/>
        </w:rPr>
        <w:t xml:space="preserve"> </w:t>
      </w:r>
      <w:proofErr w:type="spellStart"/>
      <w:r w:rsidRPr="007C270E">
        <w:rPr>
          <w:bCs/>
          <w:lang w:val="en-US"/>
        </w:rPr>
        <w:t>ginjal</w:t>
      </w:r>
      <w:proofErr w:type="spellEnd"/>
      <w:r w:rsidRPr="007C270E">
        <w:rPr>
          <w:bCs/>
          <w:lang w:val="en-US"/>
        </w:rPr>
        <w:t xml:space="preserve"> </w:t>
      </w:r>
      <w:proofErr w:type="spellStart"/>
      <w:r w:rsidRPr="007C270E">
        <w:rPr>
          <w:bCs/>
          <w:lang w:val="en-US"/>
        </w:rPr>
        <w:t>kronik</w:t>
      </w:r>
      <w:proofErr w:type="spellEnd"/>
      <w:r w:rsidRPr="007C270E">
        <w:rPr>
          <w:bCs/>
          <w:lang w:val="en-US"/>
        </w:rPr>
        <w:t xml:space="preserve"> </w:t>
      </w:r>
      <w:proofErr w:type="spellStart"/>
      <w:r w:rsidRPr="007C270E">
        <w:rPr>
          <w:bCs/>
          <w:lang w:val="en-US"/>
        </w:rPr>
        <w:t>menempati</w:t>
      </w:r>
      <w:proofErr w:type="spellEnd"/>
      <w:r w:rsidRPr="007C270E">
        <w:rPr>
          <w:bCs/>
          <w:lang w:val="en-US"/>
        </w:rPr>
        <w:t xml:space="preserve"> </w:t>
      </w:r>
      <w:proofErr w:type="spellStart"/>
      <w:r w:rsidRPr="007C270E">
        <w:rPr>
          <w:bCs/>
          <w:lang w:val="en-US"/>
        </w:rPr>
        <w:t>urutan</w:t>
      </w:r>
      <w:proofErr w:type="spellEnd"/>
      <w:r w:rsidRPr="007C270E">
        <w:rPr>
          <w:bCs/>
          <w:lang w:val="en-US"/>
        </w:rPr>
        <w:t xml:space="preserve"> ke-9 </w:t>
      </w:r>
      <w:proofErr w:type="spellStart"/>
      <w:r w:rsidRPr="007C270E">
        <w:rPr>
          <w:bCs/>
          <w:lang w:val="en-US"/>
        </w:rPr>
        <w:t>dari</w:t>
      </w:r>
      <w:proofErr w:type="spellEnd"/>
      <w:r w:rsidRPr="007C270E">
        <w:rPr>
          <w:bCs/>
          <w:lang w:val="en-US"/>
        </w:rPr>
        <w:t xml:space="preserve"> </w:t>
      </w:r>
      <w:proofErr w:type="spellStart"/>
      <w:r w:rsidRPr="007C270E">
        <w:rPr>
          <w:bCs/>
          <w:lang w:val="en-US"/>
        </w:rPr>
        <w:t>seluruh</w:t>
      </w:r>
      <w:proofErr w:type="spellEnd"/>
      <w:r w:rsidRPr="007C270E">
        <w:rPr>
          <w:bCs/>
          <w:lang w:val="en-US"/>
        </w:rPr>
        <w:t xml:space="preserve"> </w:t>
      </w:r>
      <w:proofErr w:type="spellStart"/>
      <w:r w:rsidRPr="007C270E">
        <w:rPr>
          <w:bCs/>
          <w:lang w:val="en-US"/>
        </w:rPr>
        <w:t>penyakit</w:t>
      </w:r>
      <w:proofErr w:type="spellEnd"/>
      <w:r w:rsidRPr="007C270E">
        <w:rPr>
          <w:bCs/>
          <w:lang w:val="en-US"/>
        </w:rPr>
        <w:t xml:space="preserve"> </w:t>
      </w:r>
      <w:proofErr w:type="spellStart"/>
      <w:r w:rsidRPr="007C270E">
        <w:rPr>
          <w:bCs/>
          <w:lang w:val="en-US"/>
        </w:rPr>
        <w:t>dengan</w:t>
      </w:r>
      <w:proofErr w:type="spellEnd"/>
      <w:r w:rsidRPr="007C270E">
        <w:rPr>
          <w:bCs/>
          <w:lang w:val="en-US"/>
        </w:rPr>
        <w:t xml:space="preserve"> </w:t>
      </w:r>
      <w:proofErr w:type="spellStart"/>
      <w:r w:rsidRPr="007C270E">
        <w:rPr>
          <w:bCs/>
          <w:lang w:val="en-US"/>
        </w:rPr>
        <w:t>tren</w:t>
      </w:r>
      <w:proofErr w:type="spellEnd"/>
      <w:r w:rsidRPr="007C270E">
        <w:rPr>
          <w:bCs/>
          <w:lang w:val="en-US"/>
        </w:rPr>
        <w:t xml:space="preserve"> </w:t>
      </w:r>
      <w:proofErr w:type="spellStart"/>
      <w:r w:rsidRPr="007C270E">
        <w:rPr>
          <w:bCs/>
          <w:lang w:val="en-US"/>
        </w:rPr>
        <w:t>kenaikan</w:t>
      </w:r>
      <w:proofErr w:type="spellEnd"/>
      <w:r w:rsidRPr="007C270E">
        <w:rPr>
          <w:bCs/>
          <w:lang w:val="en-US"/>
        </w:rPr>
        <w:t xml:space="preserve"> </w:t>
      </w:r>
      <w:proofErr w:type="spellStart"/>
      <w:r w:rsidRPr="007C270E">
        <w:rPr>
          <w:bCs/>
          <w:lang w:val="en-US"/>
        </w:rPr>
        <w:t>kasus</w:t>
      </w:r>
      <w:proofErr w:type="spellEnd"/>
      <w:r w:rsidRPr="007C270E">
        <w:rPr>
          <w:bCs/>
          <w:lang w:val="en-US"/>
        </w:rPr>
        <w:t xml:space="preserve"> pada 2021–2023.</w:t>
      </w:r>
    </w:p>
    <w:p w14:paraId="2819D098" w14:textId="4C80168F" w:rsidR="007C270E" w:rsidRPr="007C270E" w:rsidRDefault="007C270E" w:rsidP="007C270E">
      <w:pPr>
        <w:pStyle w:val="BodyText"/>
        <w:spacing w:line="360" w:lineRule="auto"/>
        <w:ind w:left="426" w:firstLine="751"/>
        <w:jc w:val="both"/>
        <w:rPr>
          <w:bCs/>
          <w:lang w:val="en-US"/>
        </w:rPr>
      </w:pPr>
      <w:proofErr w:type="spellStart"/>
      <w:r w:rsidRPr="007C270E">
        <w:rPr>
          <w:bCs/>
          <w:lang w:val="en-US"/>
        </w:rPr>
        <w:t>Hemodialisis</w:t>
      </w:r>
      <w:proofErr w:type="spellEnd"/>
      <w:r w:rsidRPr="007C270E">
        <w:rPr>
          <w:bCs/>
          <w:lang w:val="en-US"/>
        </w:rPr>
        <w:t xml:space="preserve">, </w:t>
      </w:r>
      <w:proofErr w:type="spellStart"/>
      <w:r w:rsidRPr="007C270E">
        <w:rPr>
          <w:bCs/>
          <w:lang w:val="en-US"/>
        </w:rPr>
        <w:t>sebagai</w:t>
      </w:r>
      <w:proofErr w:type="spellEnd"/>
      <w:r w:rsidRPr="007C270E">
        <w:rPr>
          <w:bCs/>
          <w:lang w:val="en-US"/>
        </w:rPr>
        <w:t xml:space="preserve"> </w:t>
      </w:r>
      <w:proofErr w:type="spellStart"/>
      <w:r w:rsidRPr="007C270E">
        <w:rPr>
          <w:bCs/>
          <w:lang w:val="en-US"/>
        </w:rPr>
        <w:t>terapi</w:t>
      </w:r>
      <w:proofErr w:type="spellEnd"/>
      <w:r w:rsidRPr="007C270E">
        <w:rPr>
          <w:bCs/>
          <w:lang w:val="en-US"/>
        </w:rPr>
        <w:t xml:space="preserve"> </w:t>
      </w:r>
      <w:proofErr w:type="spellStart"/>
      <w:r w:rsidRPr="007C270E">
        <w:rPr>
          <w:bCs/>
          <w:lang w:val="en-US"/>
        </w:rPr>
        <w:t>pengganti</w:t>
      </w:r>
      <w:proofErr w:type="spellEnd"/>
      <w:r w:rsidRPr="007C270E">
        <w:rPr>
          <w:bCs/>
          <w:lang w:val="en-US"/>
        </w:rPr>
        <w:t xml:space="preserve"> </w:t>
      </w:r>
      <w:proofErr w:type="spellStart"/>
      <w:r w:rsidRPr="007C270E">
        <w:rPr>
          <w:bCs/>
          <w:lang w:val="en-US"/>
        </w:rPr>
        <w:t>ginjal</w:t>
      </w:r>
      <w:proofErr w:type="spellEnd"/>
      <w:r w:rsidRPr="007C270E">
        <w:rPr>
          <w:bCs/>
          <w:lang w:val="en-US"/>
        </w:rPr>
        <w:t xml:space="preserve">, </w:t>
      </w:r>
      <w:proofErr w:type="spellStart"/>
      <w:r w:rsidRPr="007C270E">
        <w:rPr>
          <w:bCs/>
          <w:lang w:val="en-US"/>
        </w:rPr>
        <w:t>umumnya</w:t>
      </w:r>
      <w:proofErr w:type="spellEnd"/>
      <w:r w:rsidRPr="007C270E">
        <w:rPr>
          <w:bCs/>
          <w:lang w:val="en-US"/>
        </w:rPr>
        <w:t xml:space="preserve"> </w:t>
      </w:r>
      <w:proofErr w:type="spellStart"/>
      <w:r w:rsidRPr="007C270E">
        <w:rPr>
          <w:bCs/>
          <w:lang w:val="en-US"/>
        </w:rPr>
        <w:t>dilakukan</w:t>
      </w:r>
      <w:proofErr w:type="spellEnd"/>
      <w:r w:rsidRPr="007C270E">
        <w:rPr>
          <w:bCs/>
          <w:lang w:val="en-US"/>
        </w:rPr>
        <w:t xml:space="preserve"> 2–3 kali </w:t>
      </w:r>
      <w:proofErr w:type="spellStart"/>
      <w:r w:rsidRPr="007C270E">
        <w:rPr>
          <w:bCs/>
          <w:lang w:val="en-US"/>
        </w:rPr>
        <w:t>setiap</w:t>
      </w:r>
      <w:proofErr w:type="spellEnd"/>
      <w:r w:rsidRPr="007C270E">
        <w:rPr>
          <w:bCs/>
          <w:lang w:val="en-US"/>
        </w:rPr>
        <w:t xml:space="preserve"> </w:t>
      </w:r>
      <w:proofErr w:type="spellStart"/>
      <w:r w:rsidRPr="007C270E">
        <w:rPr>
          <w:bCs/>
          <w:lang w:val="en-US"/>
        </w:rPr>
        <w:t>minggu</w:t>
      </w:r>
      <w:proofErr w:type="spellEnd"/>
      <w:r w:rsidRPr="007C270E">
        <w:rPr>
          <w:bCs/>
          <w:lang w:val="en-US"/>
        </w:rPr>
        <w:t xml:space="preserve"> </w:t>
      </w:r>
      <w:proofErr w:type="spellStart"/>
      <w:r w:rsidRPr="007C270E">
        <w:rPr>
          <w:bCs/>
          <w:lang w:val="en-US"/>
        </w:rPr>
        <w:t>dengan</w:t>
      </w:r>
      <w:proofErr w:type="spellEnd"/>
      <w:r w:rsidRPr="007C270E">
        <w:rPr>
          <w:bCs/>
          <w:lang w:val="en-US"/>
        </w:rPr>
        <w:t xml:space="preserve"> lama </w:t>
      </w:r>
      <w:proofErr w:type="spellStart"/>
      <w:r w:rsidRPr="007C270E">
        <w:rPr>
          <w:bCs/>
          <w:lang w:val="en-US"/>
        </w:rPr>
        <w:t>waktu</w:t>
      </w:r>
      <w:proofErr w:type="spellEnd"/>
      <w:r w:rsidRPr="007C270E">
        <w:rPr>
          <w:bCs/>
          <w:lang w:val="en-US"/>
        </w:rPr>
        <w:t xml:space="preserve"> 4–5 jam per </w:t>
      </w:r>
      <w:proofErr w:type="spellStart"/>
      <w:r w:rsidRPr="007C270E">
        <w:rPr>
          <w:bCs/>
          <w:lang w:val="en-US"/>
        </w:rPr>
        <w:t>sesi</w:t>
      </w:r>
      <w:proofErr w:type="spellEnd"/>
      <w:r w:rsidRPr="007C270E">
        <w:rPr>
          <w:bCs/>
          <w:lang w:val="en-US"/>
        </w:rPr>
        <w:t xml:space="preserve">. </w:t>
      </w:r>
      <w:proofErr w:type="spellStart"/>
      <w:r w:rsidRPr="007C270E">
        <w:rPr>
          <w:bCs/>
          <w:lang w:val="en-US"/>
        </w:rPr>
        <w:t>Prosedur</w:t>
      </w:r>
      <w:proofErr w:type="spellEnd"/>
      <w:r w:rsidRPr="007C270E">
        <w:rPr>
          <w:bCs/>
          <w:lang w:val="en-US"/>
        </w:rPr>
        <w:t xml:space="preserve"> </w:t>
      </w:r>
      <w:proofErr w:type="spellStart"/>
      <w:r w:rsidRPr="007C270E">
        <w:rPr>
          <w:bCs/>
          <w:lang w:val="en-US"/>
        </w:rPr>
        <w:t>ini</w:t>
      </w:r>
      <w:proofErr w:type="spellEnd"/>
      <w:r w:rsidRPr="007C270E">
        <w:rPr>
          <w:bCs/>
          <w:lang w:val="en-US"/>
        </w:rPr>
        <w:t xml:space="preserve"> </w:t>
      </w:r>
      <w:proofErr w:type="spellStart"/>
      <w:r w:rsidRPr="007C270E">
        <w:rPr>
          <w:bCs/>
          <w:lang w:val="en-US"/>
        </w:rPr>
        <w:t>berfungsi</w:t>
      </w:r>
      <w:proofErr w:type="spellEnd"/>
      <w:r w:rsidRPr="007C270E">
        <w:rPr>
          <w:bCs/>
          <w:lang w:val="en-US"/>
        </w:rPr>
        <w:t xml:space="preserve"> </w:t>
      </w:r>
      <w:proofErr w:type="spellStart"/>
      <w:r w:rsidRPr="007C270E">
        <w:rPr>
          <w:bCs/>
          <w:lang w:val="en-US"/>
        </w:rPr>
        <w:t>membuang</w:t>
      </w:r>
      <w:proofErr w:type="spellEnd"/>
      <w:r w:rsidRPr="007C270E">
        <w:rPr>
          <w:bCs/>
          <w:lang w:val="en-US"/>
        </w:rPr>
        <w:t xml:space="preserve"> </w:t>
      </w:r>
      <w:proofErr w:type="spellStart"/>
      <w:r w:rsidRPr="007C270E">
        <w:rPr>
          <w:bCs/>
          <w:lang w:val="en-US"/>
        </w:rPr>
        <w:t>zat</w:t>
      </w:r>
      <w:proofErr w:type="spellEnd"/>
      <w:r w:rsidRPr="007C270E">
        <w:rPr>
          <w:bCs/>
          <w:lang w:val="en-US"/>
        </w:rPr>
        <w:t xml:space="preserve"> </w:t>
      </w:r>
      <w:proofErr w:type="spellStart"/>
      <w:r w:rsidRPr="007C270E">
        <w:rPr>
          <w:bCs/>
          <w:lang w:val="en-US"/>
        </w:rPr>
        <w:t>sisa</w:t>
      </w:r>
      <w:proofErr w:type="spellEnd"/>
      <w:r w:rsidRPr="007C270E">
        <w:rPr>
          <w:bCs/>
          <w:lang w:val="en-US"/>
        </w:rPr>
        <w:t xml:space="preserve"> </w:t>
      </w:r>
      <w:proofErr w:type="spellStart"/>
      <w:r w:rsidRPr="007C270E">
        <w:rPr>
          <w:bCs/>
          <w:lang w:val="en-US"/>
        </w:rPr>
        <w:t>metabolisme</w:t>
      </w:r>
      <w:proofErr w:type="spellEnd"/>
      <w:r w:rsidRPr="007C270E">
        <w:rPr>
          <w:bCs/>
          <w:lang w:val="en-US"/>
        </w:rPr>
        <w:t xml:space="preserve">, </w:t>
      </w:r>
      <w:proofErr w:type="spellStart"/>
      <w:r w:rsidRPr="007C270E">
        <w:rPr>
          <w:bCs/>
          <w:lang w:val="en-US"/>
        </w:rPr>
        <w:t>cairan</w:t>
      </w:r>
      <w:proofErr w:type="spellEnd"/>
      <w:r w:rsidRPr="007C270E">
        <w:rPr>
          <w:bCs/>
          <w:lang w:val="en-US"/>
        </w:rPr>
        <w:t xml:space="preserve">, dan </w:t>
      </w:r>
      <w:proofErr w:type="spellStart"/>
      <w:r w:rsidRPr="007C270E">
        <w:rPr>
          <w:bCs/>
          <w:lang w:val="en-US"/>
        </w:rPr>
        <w:t>toksin</w:t>
      </w:r>
      <w:proofErr w:type="spellEnd"/>
      <w:r w:rsidRPr="007C270E">
        <w:rPr>
          <w:bCs/>
          <w:lang w:val="en-US"/>
        </w:rPr>
        <w:t xml:space="preserve"> </w:t>
      </w:r>
      <w:proofErr w:type="spellStart"/>
      <w:r w:rsidRPr="007C270E">
        <w:rPr>
          <w:bCs/>
          <w:lang w:val="en-US"/>
        </w:rPr>
        <w:t>dalam</w:t>
      </w:r>
      <w:proofErr w:type="spellEnd"/>
      <w:r w:rsidRPr="007C270E">
        <w:rPr>
          <w:bCs/>
          <w:lang w:val="en-US"/>
        </w:rPr>
        <w:t xml:space="preserve"> </w:t>
      </w:r>
      <w:proofErr w:type="spellStart"/>
      <w:r w:rsidRPr="007C270E">
        <w:rPr>
          <w:bCs/>
          <w:lang w:val="en-US"/>
        </w:rPr>
        <w:t>tubuh</w:t>
      </w:r>
      <w:proofErr w:type="spellEnd"/>
      <w:r w:rsidRPr="007C270E">
        <w:rPr>
          <w:bCs/>
          <w:lang w:val="en-US"/>
        </w:rPr>
        <w:t xml:space="preserve"> </w:t>
      </w:r>
      <w:proofErr w:type="spellStart"/>
      <w:r w:rsidRPr="007C270E">
        <w:rPr>
          <w:bCs/>
          <w:lang w:val="en-US"/>
        </w:rPr>
        <w:t>pasien</w:t>
      </w:r>
      <w:proofErr w:type="spellEnd"/>
      <w:r w:rsidRPr="007C270E">
        <w:rPr>
          <w:bCs/>
          <w:lang w:val="en-US"/>
        </w:rPr>
        <w:t xml:space="preserve"> (Amanda, 2022). </w:t>
      </w:r>
      <w:proofErr w:type="spellStart"/>
      <w:r w:rsidRPr="007C270E">
        <w:rPr>
          <w:bCs/>
          <w:lang w:val="en-US"/>
        </w:rPr>
        <w:t>Meskipun</w:t>
      </w:r>
      <w:proofErr w:type="spellEnd"/>
      <w:r w:rsidRPr="007C270E">
        <w:rPr>
          <w:bCs/>
          <w:lang w:val="en-US"/>
        </w:rPr>
        <w:t xml:space="preserve"> </w:t>
      </w:r>
      <w:proofErr w:type="spellStart"/>
      <w:r w:rsidRPr="007C270E">
        <w:rPr>
          <w:bCs/>
          <w:lang w:val="en-US"/>
        </w:rPr>
        <w:t>dapat</w:t>
      </w:r>
      <w:proofErr w:type="spellEnd"/>
      <w:r w:rsidRPr="007C270E">
        <w:rPr>
          <w:bCs/>
          <w:lang w:val="en-US"/>
        </w:rPr>
        <w:t xml:space="preserve"> </w:t>
      </w:r>
      <w:proofErr w:type="spellStart"/>
      <w:r w:rsidRPr="007C270E">
        <w:rPr>
          <w:bCs/>
          <w:lang w:val="en-US"/>
        </w:rPr>
        <w:t>memperpanjang</w:t>
      </w:r>
      <w:proofErr w:type="spellEnd"/>
      <w:r w:rsidRPr="007C270E">
        <w:rPr>
          <w:bCs/>
          <w:lang w:val="en-US"/>
        </w:rPr>
        <w:t xml:space="preserve"> </w:t>
      </w:r>
      <w:proofErr w:type="spellStart"/>
      <w:r w:rsidRPr="007C270E">
        <w:rPr>
          <w:bCs/>
          <w:lang w:val="en-US"/>
        </w:rPr>
        <w:t>usia</w:t>
      </w:r>
      <w:proofErr w:type="spellEnd"/>
      <w:r w:rsidRPr="007C270E">
        <w:rPr>
          <w:bCs/>
          <w:lang w:val="en-US"/>
        </w:rPr>
        <w:t xml:space="preserve"> </w:t>
      </w:r>
      <w:proofErr w:type="spellStart"/>
      <w:r w:rsidRPr="007C270E">
        <w:rPr>
          <w:bCs/>
          <w:lang w:val="en-US"/>
        </w:rPr>
        <w:t>harapan</w:t>
      </w:r>
      <w:proofErr w:type="spellEnd"/>
      <w:r w:rsidRPr="007C270E">
        <w:rPr>
          <w:bCs/>
          <w:lang w:val="en-US"/>
        </w:rPr>
        <w:t xml:space="preserve"> </w:t>
      </w:r>
      <w:proofErr w:type="spellStart"/>
      <w:r w:rsidRPr="007C270E">
        <w:rPr>
          <w:bCs/>
          <w:lang w:val="en-US"/>
        </w:rPr>
        <w:t>hidup</w:t>
      </w:r>
      <w:proofErr w:type="spellEnd"/>
      <w:r w:rsidRPr="007C270E">
        <w:rPr>
          <w:bCs/>
          <w:lang w:val="en-US"/>
        </w:rPr>
        <w:t xml:space="preserve">, </w:t>
      </w:r>
      <w:proofErr w:type="spellStart"/>
      <w:r w:rsidRPr="007C270E">
        <w:rPr>
          <w:bCs/>
          <w:lang w:val="en-US"/>
        </w:rPr>
        <w:t>hemodialisis</w:t>
      </w:r>
      <w:proofErr w:type="spellEnd"/>
      <w:r w:rsidRPr="007C270E">
        <w:rPr>
          <w:bCs/>
          <w:lang w:val="en-US"/>
        </w:rPr>
        <w:t xml:space="preserve"> juga </w:t>
      </w:r>
      <w:proofErr w:type="spellStart"/>
      <w:r w:rsidRPr="007C270E">
        <w:rPr>
          <w:bCs/>
          <w:lang w:val="en-US"/>
        </w:rPr>
        <w:t>membawa</w:t>
      </w:r>
      <w:proofErr w:type="spellEnd"/>
      <w:r w:rsidRPr="007C270E">
        <w:rPr>
          <w:bCs/>
          <w:lang w:val="en-US"/>
        </w:rPr>
        <w:t xml:space="preserve"> </w:t>
      </w:r>
      <w:proofErr w:type="spellStart"/>
      <w:r w:rsidRPr="007C270E">
        <w:rPr>
          <w:bCs/>
          <w:lang w:val="en-US"/>
        </w:rPr>
        <w:t>beban</w:t>
      </w:r>
      <w:proofErr w:type="spellEnd"/>
      <w:r w:rsidRPr="007C270E">
        <w:rPr>
          <w:bCs/>
          <w:lang w:val="en-US"/>
        </w:rPr>
        <w:t xml:space="preserve"> </w:t>
      </w:r>
      <w:proofErr w:type="spellStart"/>
      <w:r w:rsidRPr="007C270E">
        <w:rPr>
          <w:bCs/>
          <w:lang w:val="en-US"/>
        </w:rPr>
        <w:t>fisik</w:t>
      </w:r>
      <w:proofErr w:type="spellEnd"/>
      <w:r w:rsidRPr="007C270E">
        <w:rPr>
          <w:bCs/>
          <w:lang w:val="en-US"/>
        </w:rPr>
        <w:t xml:space="preserve">, </w:t>
      </w:r>
      <w:proofErr w:type="spellStart"/>
      <w:r w:rsidRPr="007C270E">
        <w:rPr>
          <w:bCs/>
          <w:lang w:val="en-US"/>
        </w:rPr>
        <w:t>psikologis</w:t>
      </w:r>
      <w:proofErr w:type="spellEnd"/>
      <w:r w:rsidRPr="007C270E">
        <w:rPr>
          <w:bCs/>
          <w:lang w:val="en-US"/>
        </w:rPr>
        <w:t xml:space="preserve">, </w:t>
      </w:r>
      <w:proofErr w:type="spellStart"/>
      <w:r w:rsidRPr="007C270E">
        <w:rPr>
          <w:bCs/>
          <w:lang w:val="en-US"/>
        </w:rPr>
        <w:t>sosial</w:t>
      </w:r>
      <w:proofErr w:type="spellEnd"/>
      <w:r w:rsidRPr="007C270E">
        <w:rPr>
          <w:bCs/>
          <w:lang w:val="en-US"/>
        </w:rPr>
        <w:t xml:space="preserve">, dan </w:t>
      </w:r>
      <w:proofErr w:type="spellStart"/>
      <w:r w:rsidRPr="007C270E">
        <w:rPr>
          <w:bCs/>
          <w:lang w:val="en-US"/>
        </w:rPr>
        <w:t>ekonomi</w:t>
      </w:r>
      <w:proofErr w:type="spellEnd"/>
      <w:r w:rsidRPr="007C270E">
        <w:rPr>
          <w:bCs/>
          <w:lang w:val="en-US"/>
        </w:rPr>
        <w:t xml:space="preserve"> </w:t>
      </w:r>
      <w:proofErr w:type="spellStart"/>
      <w:r w:rsidRPr="007C270E">
        <w:rPr>
          <w:bCs/>
          <w:lang w:val="en-US"/>
        </w:rPr>
        <w:t>bagi</w:t>
      </w:r>
      <w:proofErr w:type="spellEnd"/>
      <w:r w:rsidRPr="007C270E">
        <w:rPr>
          <w:bCs/>
          <w:lang w:val="en-US"/>
        </w:rPr>
        <w:t xml:space="preserve"> </w:t>
      </w:r>
      <w:proofErr w:type="spellStart"/>
      <w:r w:rsidRPr="007C270E">
        <w:rPr>
          <w:bCs/>
          <w:lang w:val="en-US"/>
        </w:rPr>
        <w:t>pasien</w:t>
      </w:r>
      <w:proofErr w:type="spellEnd"/>
      <w:r w:rsidRPr="007C270E">
        <w:rPr>
          <w:bCs/>
          <w:lang w:val="en-US"/>
        </w:rPr>
        <w:t xml:space="preserve"> </w:t>
      </w:r>
      <w:proofErr w:type="spellStart"/>
      <w:r w:rsidRPr="007C270E">
        <w:rPr>
          <w:bCs/>
          <w:lang w:val="en-US"/>
        </w:rPr>
        <w:t>maupun</w:t>
      </w:r>
      <w:proofErr w:type="spellEnd"/>
      <w:r w:rsidRPr="007C270E">
        <w:rPr>
          <w:bCs/>
          <w:lang w:val="en-US"/>
        </w:rPr>
        <w:t xml:space="preserve"> </w:t>
      </w:r>
      <w:proofErr w:type="spellStart"/>
      <w:r w:rsidRPr="007C270E">
        <w:rPr>
          <w:bCs/>
          <w:lang w:val="en-US"/>
        </w:rPr>
        <w:t>keluarga</w:t>
      </w:r>
      <w:proofErr w:type="spellEnd"/>
      <w:r w:rsidRPr="007C270E">
        <w:rPr>
          <w:bCs/>
          <w:lang w:val="en-US"/>
        </w:rPr>
        <w:t>.</w:t>
      </w:r>
    </w:p>
    <w:p w14:paraId="016410C5" w14:textId="14FB24C8" w:rsidR="007C270E" w:rsidRPr="007C270E" w:rsidRDefault="007C270E" w:rsidP="007C270E">
      <w:pPr>
        <w:pStyle w:val="BodyText"/>
        <w:spacing w:line="360" w:lineRule="auto"/>
        <w:ind w:left="426" w:firstLine="751"/>
        <w:jc w:val="both"/>
        <w:rPr>
          <w:bCs/>
          <w:lang w:val="en-US"/>
        </w:rPr>
      </w:pPr>
      <w:proofErr w:type="spellStart"/>
      <w:r w:rsidRPr="007C270E">
        <w:rPr>
          <w:bCs/>
          <w:lang w:val="en-US"/>
        </w:rPr>
        <w:t>Kepatuhan</w:t>
      </w:r>
      <w:proofErr w:type="spellEnd"/>
      <w:r w:rsidRPr="007C270E">
        <w:rPr>
          <w:bCs/>
          <w:lang w:val="en-US"/>
        </w:rPr>
        <w:t xml:space="preserve"> </w:t>
      </w:r>
      <w:proofErr w:type="spellStart"/>
      <w:r w:rsidRPr="007C270E">
        <w:rPr>
          <w:bCs/>
          <w:lang w:val="en-US"/>
        </w:rPr>
        <w:t>terhadap</w:t>
      </w:r>
      <w:proofErr w:type="spellEnd"/>
      <w:r w:rsidRPr="007C270E">
        <w:rPr>
          <w:bCs/>
          <w:lang w:val="en-US"/>
        </w:rPr>
        <w:t xml:space="preserve"> </w:t>
      </w:r>
      <w:proofErr w:type="spellStart"/>
      <w:r w:rsidRPr="007C270E">
        <w:rPr>
          <w:bCs/>
          <w:lang w:val="en-US"/>
        </w:rPr>
        <w:t>jadwal</w:t>
      </w:r>
      <w:proofErr w:type="spellEnd"/>
      <w:r w:rsidRPr="007C270E">
        <w:rPr>
          <w:bCs/>
          <w:lang w:val="en-US"/>
        </w:rPr>
        <w:t xml:space="preserve"> </w:t>
      </w:r>
      <w:proofErr w:type="spellStart"/>
      <w:r w:rsidRPr="007C270E">
        <w:rPr>
          <w:bCs/>
          <w:lang w:val="en-US"/>
        </w:rPr>
        <w:t>hemodialisis</w:t>
      </w:r>
      <w:proofErr w:type="spellEnd"/>
      <w:r w:rsidRPr="007C270E">
        <w:rPr>
          <w:bCs/>
          <w:lang w:val="en-US"/>
        </w:rPr>
        <w:t xml:space="preserve"> </w:t>
      </w:r>
      <w:proofErr w:type="spellStart"/>
      <w:r w:rsidRPr="007C270E">
        <w:rPr>
          <w:bCs/>
          <w:lang w:val="en-US"/>
        </w:rPr>
        <w:t>sangatlah</w:t>
      </w:r>
      <w:proofErr w:type="spellEnd"/>
      <w:r w:rsidRPr="007C270E">
        <w:rPr>
          <w:bCs/>
          <w:lang w:val="en-US"/>
        </w:rPr>
        <w:t xml:space="preserve"> </w:t>
      </w:r>
      <w:proofErr w:type="spellStart"/>
      <w:r w:rsidRPr="007C270E">
        <w:rPr>
          <w:bCs/>
          <w:lang w:val="en-US"/>
        </w:rPr>
        <w:t>penting</w:t>
      </w:r>
      <w:proofErr w:type="spellEnd"/>
      <w:r w:rsidRPr="007C270E">
        <w:rPr>
          <w:bCs/>
          <w:lang w:val="en-US"/>
        </w:rPr>
        <w:t xml:space="preserve">. </w:t>
      </w:r>
      <w:proofErr w:type="spellStart"/>
      <w:r w:rsidRPr="007C270E">
        <w:rPr>
          <w:bCs/>
          <w:lang w:val="en-US"/>
        </w:rPr>
        <w:t>Ketidakpatuhan</w:t>
      </w:r>
      <w:proofErr w:type="spellEnd"/>
      <w:r w:rsidRPr="007C270E">
        <w:rPr>
          <w:bCs/>
          <w:lang w:val="en-US"/>
        </w:rPr>
        <w:t xml:space="preserve"> </w:t>
      </w:r>
      <w:proofErr w:type="spellStart"/>
      <w:r w:rsidRPr="007C270E">
        <w:rPr>
          <w:bCs/>
          <w:lang w:val="en-US"/>
        </w:rPr>
        <w:t>dapat</w:t>
      </w:r>
      <w:proofErr w:type="spellEnd"/>
      <w:r w:rsidRPr="007C270E">
        <w:rPr>
          <w:bCs/>
          <w:lang w:val="en-US"/>
        </w:rPr>
        <w:t xml:space="preserve"> </w:t>
      </w:r>
      <w:proofErr w:type="spellStart"/>
      <w:r w:rsidRPr="007C270E">
        <w:rPr>
          <w:bCs/>
          <w:lang w:val="en-US"/>
        </w:rPr>
        <w:t>menyebabkan</w:t>
      </w:r>
      <w:proofErr w:type="spellEnd"/>
      <w:r w:rsidRPr="007C270E">
        <w:rPr>
          <w:bCs/>
          <w:lang w:val="en-US"/>
        </w:rPr>
        <w:t xml:space="preserve"> </w:t>
      </w:r>
      <w:proofErr w:type="spellStart"/>
      <w:r w:rsidRPr="007C270E">
        <w:rPr>
          <w:bCs/>
          <w:lang w:val="en-US"/>
        </w:rPr>
        <w:t>penumpukan</w:t>
      </w:r>
      <w:proofErr w:type="spellEnd"/>
      <w:r w:rsidRPr="007C270E">
        <w:rPr>
          <w:bCs/>
          <w:lang w:val="en-US"/>
        </w:rPr>
        <w:t xml:space="preserve"> </w:t>
      </w:r>
      <w:proofErr w:type="spellStart"/>
      <w:r w:rsidRPr="007C270E">
        <w:rPr>
          <w:bCs/>
          <w:lang w:val="en-US"/>
        </w:rPr>
        <w:t>racun</w:t>
      </w:r>
      <w:proofErr w:type="spellEnd"/>
      <w:r w:rsidRPr="007C270E">
        <w:rPr>
          <w:bCs/>
          <w:lang w:val="en-US"/>
        </w:rPr>
        <w:t xml:space="preserve"> </w:t>
      </w:r>
      <w:proofErr w:type="spellStart"/>
      <w:r w:rsidRPr="007C270E">
        <w:rPr>
          <w:bCs/>
          <w:lang w:val="en-US"/>
        </w:rPr>
        <w:t>metabolik</w:t>
      </w:r>
      <w:proofErr w:type="spellEnd"/>
      <w:r w:rsidRPr="007C270E">
        <w:rPr>
          <w:bCs/>
          <w:lang w:val="en-US"/>
        </w:rPr>
        <w:t xml:space="preserve"> </w:t>
      </w:r>
      <w:proofErr w:type="spellStart"/>
      <w:r w:rsidRPr="007C270E">
        <w:rPr>
          <w:bCs/>
          <w:lang w:val="en-US"/>
        </w:rPr>
        <w:t>dalam</w:t>
      </w:r>
      <w:proofErr w:type="spellEnd"/>
      <w:r w:rsidRPr="007C270E">
        <w:rPr>
          <w:bCs/>
          <w:lang w:val="en-US"/>
        </w:rPr>
        <w:t xml:space="preserve"> </w:t>
      </w:r>
      <w:proofErr w:type="spellStart"/>
      <w:r w:rsidRPr="007C270E">
        <w:rPr>
          <w:bCs/>
          <w:lang w:val="en-US"/>
        </w:rPr>
        <w:t>darah</w:t>
      </w:r>
      <w:proofErr w:type="spellEnd"/>
      <w:r w:rsidRPr="007C270E">
        <w:rPr>
          <w:bCs/>
          <w:lang w:val="en-US"/>
        </w:rPr>
        <w:t xml:space="preserve"> yang </w:t>
      </w:r>
      <w:proofErr w:type="spellStart"/>
      <w:r w:rsidRPr="007C270E">
        <w:rPr>
          <w:bCs/>
          <w:lang w:val="en-US"/>
        </w:rPr>
        <w:t>menimbulkan</w:t>
      </w:r>
      <w:proofErr w:type="spellEnd"/>
      <w:r w:rsidRPr="007C270E">
        <w:rPr>
          <w:bCs/>
          <w:lang w:val="en-US"/>
        </w:rPr>
        <w:t xml:space="preserve"> </w:t>
      </w:r>
      <w:proofErr w:type="spellStart"/>
      <w:r w:rsidRPr="007C270E">
        <w:rPr>
          <w:bCs/>
          <w:lang w:val="en-US"/>
        </w:rPr>
        <w:t>gejala</w:t>
      </w:r>
      <w:proofErr w:type="spellEnd"/>
      <w:r w:rsidRPr="007C270E">
        <w:rPr>
          <w:bCs/>
          <w:lang w:val="en-US"/>
        </w:rPr>
        <w:t xml:space="preserve"> </w:t>
      </w:r>
      <w:proofErr w:type="spellStart"/>
      <w:r w:rsidRPr="007C270E">
        <w:rPr>
          <w:bCs/>
          <w:lang w:val="en-US"/>
        </w:rPr>
        <w:t>nyeri</w:t>
      </w:r>
      <w:proofErr w:type="spellEnd"/>
      <w:r w:rsidRPr="007C270E">
        <w:rPr>
          <w:bCs/>
          <w:lang w:val="en-US"/>
        </w:rPr>
        <w:t xml:space="preserve"> </w:t>
      </w:r>
      <w:proofErr w:type="spellStart"/>
      <w:r w:rsidRPr="007C270E">
        <w:rPr>
          <w:bCs/>
          <w:lang w:val="en-US"/>
        </w:rPr>
        <w:t>hingga</w:t>
      </w:r>
      <w:proofErr w:type="spellEnd"/>
      <w:r w:rsidRPr="007C270E">
        <w:rPr>
          <w:bCs/>
          <w:lang w:val="en-US"/>
        </w:rPr>
        <w:t xml:space="preserve"> </w:t>
      </w:r>
      <w:proofErr w:type="spellStart"/>
      <w:r w:rsidRPr="007C270E">
        <w:rPr>
          <w:bCs/>
          <w:lang w:val="en-US"/>
        </w:rPr>
        <w:t>berujung</w:t>
      </w:r>
      <w:proofErr w:type="spellEnd"/>
      <w:r w:rsidRPr="007C270E">
        <w:rPr>
          <w:bCs/>
          <w:lang w:val="en-US"/>
        </w:rPr>
        <w:t xml:space="preserve"> pada </w:t>
      </w:r>
      <w:proofErr w:type="spellStart"/>
      <w:r w:rsidRPr="007C270E">
        <w:rPr>
          <w:bCs/>
          <w:lang w:val="en-US"/>
        </w:rPr>
        <w:t>kematian</w:t>
      </w:r>
      <w:proofErr w:type="spellEnd"/>
      <w:r w:rsidRPr="007C270E">
        <w:rPr>
          <w:bCs/>
          <w:lang w:val="en-US"/>
        </w:rPr>
        <w:t xml:space="preserve"> (</w:t>
      </w:r>
      <w:proofErr w:type="spellStart"/>
      <w:r w:rsidRPr="007C270E">
        <w:rPr>
          <w:bCs/>
          <w:lang w:val="en-US"/>
        </w:rPr>
        <w:t>Kusniawati</w:t>
      </w:r>
      <w:proofErr w:type="spellEnd"/>
      <w:r w:rsidRPr="007C270E">
        <w:rPr>
          <w:bCs/>
          <w:lang w:val="en-US"/>
        </w:rPr>
        <w:t xml:space="preserve">, 2018). </w:t>
      </w:r>
      <w:proofErr w:type="spellStart"/>
      <w:r w:rsidRPr="007C270E">
        <w:rPr>
          <w:bCs/>
          <w:lang w:val="en-US"/>
        </w:rPr>
        <w:t>Penelitian</w:t>
      </w:r>
      <w:proofErr w:type="spellEnd"/>
      <w:r w:rsidRPr="007C270E">
        <w:rPr>
          <w:bCs/>
          <w:lang w:val="en-US"/>
        </w:rPr>
        <w:t xml:space="preserve"> </w:t>
      </w:r>
      <w:proofErr w:type="spellStart"/>
      <w:r w:rsidRPr="007C270E">
        <w:rPr>
          <w:bCs/>
          <w:lang w:val="en-US"/>
        </w:rPr>
        <w:t>Manguma</w:t>
      </w:r>
      <w:proofErr w:type="spellEnd"/>
      <w:r w:rsidRPr="007C270E">
        <w:rPr>
          <w:bCs/>
          <w:lang w:val="en-US"/>
        </w:rPr>
        <w:t xml:space="preserve">, </w:t>
      </w:r>
      <w:proofErr w:type="spellStart"/>
      <w:r w:rsidRPr="007C270E">
        <w:rPr>
          <w:bCs/>
          <w:lang w:val="en-US"/>
        </w:rPr>
        <w:t>Tobing</w:t>
      </w:r>
      <w:proofErr w:type="spellEnd"/>
      <w:r w:rsidRPr="007C270E">
        <w:rPr>
          <w:bCs/>
          <w:lang w:val="en-US"/>
        </w:rPr>
        <w:t xml:space="preserve">, &amp; Lase (2014) juga </w:t>
      </w:r>
      <w:proofErr w:type="spellStart"/>
      <w:r w:rsidRPr="007C270E">
        <w:rPr>
          <w:bCs/>
          <w:lang w:val="en-US"/>
        </w:rPr>
        <w:t>menegaskan</w:t>
      </w:r>
      <w:proofErr w:type="spellEnd"/>
      <w:r w:rsidRPr="007C270E">
        <w:rPr>
          <w:bCs/>
          <w:lang w:val="en-US"/>
        </w:rPr>
        <w:t xml:space="preserve"> </w:t>
      </w:r>
      <w:proofErr w:type="spellStart"/>
      <w:r w:rsidRPr="007C270E">
        <w:rPr>
          <w:bCs/>
          <w:lang w:val="en-US"/>
        </w:rPr>
        <w:t>bahwa</w:t>
      </w:r>
      <w:proofErr w:type="spellEnd"/>
      <w:r w:rsidRPr="007C270E">
        <w:rPr>
          <w:bCs/>
          <w:lang w:val="en-US"/>
        </w:rPr>
        <w:t xml:space="preserve"> </w:t>
      </w:r>
      <w:proofErr w:type="spellStart"/>
      <w:r w:rsidRPr="007C270E">
        <w:rPr>
          <w:bCs/>
          <w:lang w:val="en-US"/>
        </w:rPr>
        <w:t>pasien</w:t>
      </w:r>
      <w:proofErr w:type="spellEnd"/>
      <w:r w:rsidRPr="007C270E">
        <w:rPr>
          <w:bCs/>
          <w:lang w:val="en-US"/>
        </w:rPr>
        <w:t xml:space="preserve"> </w:t>
      </w:r>
      <w:proofErr w:type="spellStart"/>
      <w:r w:rsidRPr="007C270E">
        <w:rPr>
          <w:bCs/>
          <w:lang w:val="en-US"/>
        </w:rPr>
        <w:t>gagal</w:t>
      </w:r>
      <w:proofErr w:type="spellEnd"/>
      <w:r w:rsidRPr="007C270E">
        <w:rPr>
          <w:bCs/>
          <w:lang w:val="en-US"/>
        </w:rPr>
        <w:t xml:space="preserve"> </w:t>
      </w:r>
      <w:proofErr w:type="spellStart"/>
      <w:r w:rsidRPr="007C270E">
        <w:rPr>
          <w:bCs/>
          <w:lang w:val="en-US"/>
        </w:rPr>
        <w:t>ginjal</w:t>
      </w:r>
      <w:proofErr w:type="spellEnd"/>
      <w:r w:rsidRPr="007C270E">
        <w:rPr>
          <w:bCs/>
          <w:lang w:val="en-US"/>
        </w:rPr>
        <w:t xml:space="preserve"> </w:t>
      </w:r>
      <w:proofErr w:type="spellStart"/>
      <w:r w:rsidRPr="007C270E">
        <w:rPr>
          <w:bCs/>
          <w:lang w:val="en-US"/>
        </w:rPr>
        <w:t>kronik</w:t>
      </w:r>
      <w:proofErr w:type="spellEnd"/>
      <w:r w:rsidRPr="007C270E">
        <w:rPr>
          <w:bCs/>
          <w:lang w:val="en-US"/>
        </w:rPr>
        <w:t xml:space="preserve"> </w:t>
      </w:r>
      <w:proofErr w:type="spellStart"/>
      <w:r w:rsidRPr="007C270E">
        <w:rPr>
          <w:bCs/>
          <w:lang w:val="en-US"/>
        </w:rPr>
        <w:t>sangat</w:t>
      </w:r>
      <w:proofErr w:type="spellEnd"/>
      <w:r w:rsidRPr="007C270E">
        <w:rPr>
          <w:bCs/>
          <w:lang w:val="en-US"/>
        </w:rPr>
        <w:t xml:space="preserve"> </w:t>
      </w:r>
      <w:proofErr w:type="spellStart"/>
      <w:r w:rsidRPr="007C270E">
        <w:rPr>
          <w:bCs/>
          <w:lang w:val="en-US"/>
        </w:rPr>
        <w:t>bergantung</w:t>
      </w:r>
      <w:proofErr w:type="spellEnd"/>
      <w:r w:rsidRPr="007C270E">
        <w:rPr>
          <w:bCs/>
          <w:lang w:val="en-US"/>
        </w:rPr>
        <w:t xml:space="preserve"> pada </w:t>
      </w:r>
      <w:proofErr w:type="spellStart"/>
      <w:r w:rsidRPr="007C270E">
        <w:rPr>
          <w:bCs/>
          <w:lang w:val="en-US"/>
        </w:rPr>
        <w:t>terapi</w:t>
      </w:r>
      <w:proofErr w:type="spellEnd"/>
      <w:r w:rsidRPr="007C270E">
        <w:rPr>
          <w:bCs/>
          <w:lang w:val="en-US"/>
        </w:rPr>
        <w:t xml:space="preserve"> </w:t>
      </w:r>
      <w:proofErr w:type="spellStart"/>
      <w:r w:rsidRPr="007C270E">
        <w:rPr>
          <w:bCs/>
          <w:lang w:val="en-US"/>
        </w:rPr>
        <w:t>ini</w:t>
      </w:r>
      <w:proofErr w:type="spellEnd"/>
      <w:r w:rsidRPr="007C270E">
        <w:rPr>
          <w:bCs/>
          <w:lang w:val="en-US"/>
        </w:rPr>
        <w:t xml:space="preserve"> </w:t>
      </w:r>
      <w:proofErr w:type="spellStart"/>
      <w:r w:rsidRPr="007C270E">
        <w:rPr>
          <w:bCs/>
          <w:lang w:val="en-US"/>
        </w:rPr>
        <w:t>sebagai</w:t>
      </w:r>
      <w:proofErr w:type="spellEnd"/>
      <w:r w:rsidRPr="007C270E">
        <w:rPr>
          <w:bCs/>
          <w:lang w:val="en-US"/>
        </w:rPr>
        <w:t xml:space="preserve"> </w:t>
      </w:r>
      <w:proofErr w:type="spellStart"/>
      <w:r w:rsidRPr="007C270E">
        <w:rPr>
          <w:bCs/>
          <w:lang w:val="en-US"/>
        </w:rPr>
        <w:t>pengganti</w:t>
      </w:r>
      <w:proofErr w:type="spellEnd"/>
      <w:r w:rsidRPr="007C270E">
        <w:rPr>
          <w:bCs/>
          <w:lang w:val="en-US"/>
        </w:rPr>
        <w:t xml:space="preserve"> </w:t>
      </w:r>
      <w:proofErr w:type="spellStart"/>
      <w:r w:rsidRPr="007C270E">
        <w:rPr>
          <w:bCs/>
          <w:lang w:val="en-US"/>
        </w:rPr>
        <w:t>fungsi</w:t>
      </w:r>
      <w:proofErr w:type="spellEnd"/>
      <w:r w:rsidRPr="007C270E">
        <w:rPr>
          <w:bCs/>
          <w:lang w:val="en-US"/>
        </w:rPr>
        <w:t xml:space="preserve"> </w:t>
      </w:r>
      <w:proofErr w:type="spellStart"/>
      <w:r w:rsidRPr="007C270E">
        <w:rPr>
          <w:bCs/>
          <w:lang w:val="en-US"/>
        </w:rPr>
        <w:t>ginjal</w:t>
      </w:r>
      <w:proofErr w:type="spellEnd"/>
      <w:r w:rsidRPr="007C270E">
        <w:rPr>
          <w:bCs/>
          <w:lang w:val="en-US"/>
        </w:rPr>
        <w:t xml:space="preserve">. Oleh </w:t>
      </w:r>
      <w:proofErr w:type="spellStart"/>
      <w:r w:rsidRPr="007C270E">
        <w:rPr>
          <w:bCs/>
          <w:lang w:val="en-US"/>
        </w:rPr>
        <w:t>karena</w:t>
      </w:r>
      <w:proofErr w:type="spellEnd"/>
      <w:r w:rsidRPr="007C270E">
        <w:rPr>
          <w:bCs/>
          <w:lang w:val="en-US"/>
        </w:rPr>
        <w:t xml:space="preserve"> </w:t>
      </w:r>
      <w:proofErr w:type="spellStart"/>
      <w:r w:rsidRPr="007C270E">
        <w:rPr>
          <w:bCs/>
          <w:lang w:val="en-US"/>
        </w:rPr>
        <w:t>itu</w:t>
      </w:r>
      <w:proofErr w:type="spellEnd"/>
      <w:r w:rsidRPr="007C270E">
        <w:rPr>
          <w:bCs/>
          <w:lang w:val="en-US"/>
        </w:rPr>
        <w:t xml:space="preserve">, </w:t>
      </w:r>
      <w:proofErr w:type="spellStart"/>
      <w:r w:rsidRPr="007C270E">
        <w:rPr>
          <w:bCs/>
          <w:lang w:val="en-US"/>
        </w:rPr>
        <w:t>kepatuhan</w:t>
      </w:r>
      <w:proofErr w:type="spellEnd"/>
      <w:r w:rsidRPr="007C270E">
        <w:rPr>
          <w:bCs/>
          <w:lang w:val="en-US"/>
        </w:rPr>
        <w:t xml:space="preserve"> </w:t>
      </w:r>
      <w:proofErr w:type="spellStart"/>
      <w:r w:rsidRPr="007C270E">
        <w:rPr>
          <w:bCs/>
          <w:lang w:val="en-US"/>
        </w:rPr>
        <w:t>dalam</w:t>
      </w:r>
      <w:proofErr w:type="spellEnd"/>
      <w:r w:rsidRPr="007C270E">
        <w:rPr>
          <w:bCs/>
          <w:lang w:val="en-US"/>
        </w:rPr>
        <w:t xml:space="preserve"> </w:t>
      </w:r>
      <w:proofErr w:type="spellStart"/>
      <w:r w:rsidRPr="007C270E">
        <w:rPr>
          <w:bCs/>
          <w:lang w:val="en-US"/>
        </w:rPr>
        <w:t>menjalani</w:t>
      </w:r>
      <w:proofErr w:type="spellEnd"/>
      <w:r w:rsidRPr="007C270E">
        <w:rPr>
          <w:bCs/>
          <w:lang w:val="en-US"/>
        </w:rPr>
        <w:t xml:space="preserve"> </w:t>
      </w:r>
      <w:proofErr w:type="spellStart"/>
      <w:r w:rsidRPr="007C270E">
        <w:rPr>
          <w:bCs/>
          <w:lang w:val="en-US"/>
        </w:rPr>
        <w:t>hemodialisis</w:t>
      </w:r>
      <w:proofErr w:type="spellEnd"/>
      <w:r w:rsidRPr="007C270E">
        <w:rPr>
          <w:bCs/>
          <w:lang w:val="en-US"/>
        </w:rPr>
        <w:t xml:space="preserve"> </w:t>
      </w:r>
      <w:proofErr w:type="spellStart"/>
      <w:r w:rsidRPr="007C270E">
        <w:rPr>
          <w:bCs/>
          <w:lang w:val="en-US"/>
        </w:rPr>
        <w:t>merupakan</w:t>
      </w:r>
      <w:proofErr w:type="spellEnd"/>
      <w:r w:rsidRPr="007C270E">
        <w:rPr>
          <w:bCs/>
          <w:lang w:val="en-US"/>
        </w:rPr>
        <w:t xml:space="preserve"> </w:t>
      </w:r>
      <w:proofErr w:type="spellStart"/>
      <w:r w:rsidRPr="007C270E">
        <w:rPr>
          <w:bCs/>
          <w:lang w:val="en-US"/>
        </w:rPr>
        <w:t>isu</w:t>
      </w:r>
      <w:proofErr w:type="spellEnd"/>
      <w:r w:rsidRPr="007C270E">
        <w:rPr>
          <w:bCs/>
          <w:lang w:val="en-US"/>
        </w:rPr>
        <w:t xml:space="preserve"> </w:t>
      </w:r>
      <w:proofErr w:type="spellStart"/>
      <w:r w:rsidRPr="007C270E">
        <w:rPr>
          <w:bCs/>
          <w:lang w:val="en-US"/>
        </w:rPr>
        <w:t>krusial</w:t>
      </w:r>
      <w:proofErr w:type="spellEnd"/>
      <w:r w:rsidRPr="007C270E">
        <w:rPr>
          <w:bCs/>
          <w:lang w:val="en-US"/>
        </w:rPr>
        <w:t xml:space="preserve"> yang </w:t>
      </w:r>
      <w:proofErr w:type="spellStart"/>
      <w:r w:rsidRPr="007C270E">
        <w:rPr>
          <w:bCs/>
          <w:lang w:val="en-US"/>
        </w:rPr>
        <w:t>memengaruhi</w:t>
      </w:r>
      <w:proofErr w:type="spellEnd"/>
      <w:r w:rsidRPr="007C270E">
        <w:rPr>
          <w:bCs/>
          <w:lang w:val="en-US"/>
        </w:rPr>
        <w:t xml:space="preserve"> </w:t>
      </w:r>
      <w:proofErr w:type="spellStart"/>
      <w:r w:rsidRPr="007C270E">
        <w:rPr>
          <w:bCs/>
          <w:lang w:val="en-US"/>
        </w:rPr>
        <w:t>kelangsungan</w:t>
      </w:r>
      <w:proofErr w:type="spellEnd"/>
      <w:r w:rsidRPr="007C270E">
        <w:rPr>
          <w:bCs/>
          <w:lang w:val="en-US"/>
        </w:rPr>
        <w:t xml:space="preserve"> </w:t>
      </w:r>
      <w:proofErr w:type="spellStart"/>
      <w:r w:rsidRPr="007C270E">
        <w:rPr>
          <w:bCs/>
          <w:lang w:val="en-US"/>
        </w:rPr>
        <w:t>hidup</w:t>
      </w:r>
      <w:proofErr w:type="spellEnd"/>
      <w:r w:rsidRPr="007C270E">
        <w:rPr>
          <w:bCs/>
          <w:lang w:val="en-US"/>
        </w:rPr>
        <w:t xml:space="preserve"> </w:t>
      </w:r>
      <w:proofErr w:type="spellStart"/>
      <w:r w:rsidRPr="007C270E">
        <w:rPr>
          <w:bCs/>
          <w:lang w:val="en-US"/>
        </w:rPr>
        <w:t>pasien</w:t>
      </w:r>
      <w:proofErr w:type="spellEnd"/>
      <w:r w:rsidRPr="007C270E">
        <w:rPr>
          <w:bCs/>
          <w:lang w:val="en-US"/>
        </w:rPr>
        <w:t>.</w:t>
      </w:r>
    </w:p>
    <w:p w14:paraId="76E3F5DC" w14:textId="7D9958BE" w:rsidR="007C270E" w:rsidRPr="007C270E" w:rsidRDefault="007C270E" w:rsidP="007C270E">
      <w:pPr>
        <w:pStyle w:val="BodyText"/>
        <w:spacing w:line="360" w:lineRule="auto"/>
        <w:ind w:left="426" w:firstLine="751"/>
        <w:jc w:val="both"/>
        <w:rPr>
          <w:bCs/>
          <w:lang w:val="en-US"/>
        </w:rPr>
      </w:pPr>
      <w:r w:rsidRPr="007C270E">
        <w:rPr>
          <w:bCs/>
          <w:lang w:val="en-US"/>
        </w:rPr>
        <w:t xml:space="preserve"> Selain </w:t>
      </w:r>
      <w:proofErr w:type="spellStart"/>
      <w:r w:rsidRPr="007C270E">
        <w:rPr>
          <w:bCs/>
          <w:lang w:val="en-US"/>
        </w:rPr>
        <w:t>itu</w:t>
      </w:r>
      <w:proofErr w:type="spellEnd"/>
      <w:r w:rsidRPr="007C270E">
        <w:rPr>
          <w:bCs/>
          <w:lang w:val="en-US"/>
        </w:rPr>
        <w:t xml:space="preserve">, </w:t>
      </w:r>
      <w:proofErr w:type="spellStart"/>
      <w:r w:rsidRPr="007C270E">
        <w:rPr>
          <w:bCs/>
          <w:lang w:val="en-US"/>
        </w:rPr>
        <w:t>kualitas</w:t>
      </w:r>
      <w:proofErr w:type="spellEnd"/>
      <w:r w:rsidRPr="007C270E">
        <w:rPr>
          <w:bCs/>
          <w:lang w:val="en-US"/>
        </w:rPr>
        <w:t xml:space="preserve"> </w:t>
      </w:r>
      <w:proofErr w:type="spellStart"/>
      <w:r w:rsidRPr="007C270E">
        <w:rPr>
          <w:bCs/>
          <w:lang w:val="en-US"/>
        </w:rPr>
        <w:t>hidup</w:t>
      </w:r>
      <w:proofErr w:type="spellEnd"/>
      <w:r w:rsidRPr="007C270E">
        <w:rPr>
          <w:bCs/>
          <w:lang w:val="en-US"/>
        </w:rPr>
        <w:t xml:space="preserve"> </w:t>
      </w:r>
      <w:proofErr w:type="spellStart"/>
      <w:r w:rsidRPr="007C270E">
        <w:rPr>
          <w:bCs/>
          <w:lang w:val="en-US"/>
        </w:rPr>
        <w:t>penderita</w:t>
      </w:r>
      <w:proofErr w:type="spellEnd"/>
      <w:r w:rsidRPr="007C270E">
        <w:rPr>
          <w:bCs/>
          <w:lang w:val="en-US"/>
        </w:rPr>
        <w:t xml:space="preserve"> </w:t>
      </w:r>
      <w:proofErr w:type="spellStart"/>
      <w:r w:rsidRPr="007C270E">
        <w:rPr>
          <w:bCs/>
          <w:lang w:val="en-US"/>
        </w:rPr>
        <w:t>gagal</w:t>
      </w:r>
      <w:proofErr w:type="spellEnd"/>
      <w:r w:rsidRPr="007C270E">
        <w:rPr>
          <w:bCs/>
          <w:lang w:val="en-US"/>
        </w:rPr>
        <w:t xml:space="preserve"> </w:t>
      </w:r>
      <w:proofErr w:type="spellStart"/>
      <w:r w:rsidRPr="007C270E">
        <w:rPr>
          <w:bCs/>
          <w:lang w:val="en-US"/>
        </w:rPr>
        <w:t>ginjal</w:t>
      </w:r>
      <w:proofErr w:type="spellEnd"/>
      <w:r w:rsidRPr="007C270E">
        <w:rPr>
          <w:bCs/>
          <w:lang w:val="en-US"/>
        </w:rPr>
        <w:t xml:space="preserve"> </w:t>
      </w:r>
      <w:proofErr w:type="spellStart"/>
      <w:r w:rsidRPr="007C270E">
        <w:rPr>
          <w:bCs/>
          <w:lang w:val="en-US"/>
        </w:rPr>
        <w:t>kronik</w:t>
      </w:r>
      <w:proofErr w:type="spellEnd"/>
      <w:r w:rsidRPr="007C270E">
        <w:rPr>
          <w:bCs/>
          <w:lang w:val="en-US"/>
        </w:rPr>
        <w:t xml:space="preserve"> </w:t>
      </w:r>
      <w:proofErr w:type="spellStart"/>
      <w:r w:rsidRPr="007C270E">
        <w:rPr>
          <w:bCs/>
          <w:lang w:val="en-US"/>
        </w:rPr>
        <w:t>sering</w:t>
      </w:r>
      <w:proofErr w:type="spellEnd"/>
      <w:r w:rsidRPr="007C270E">
        <w:rPr>
          <w:bCs/>
          <w:lang w:val="en-US"/>
        </w:rPr>
        <w:t xml:space="preserve"> kali </w:t>
      </w:r>
      <w:proofErr w:type="spellStart"/>
      <w:r w:rsidRPr="007C270E">
        <w:rPr>
          <w:bCs/>
          <w:lang w:val="en-US"/>
        </w:rPr>
        <w:t>menurun</w:t>
      </w:r>
      <w:proofErr w:type="spellEnd"/>
      <w:r w:rsidRPr="007C270E">
        <w:rPr>
          <w:bCs/>
          <w:lang w:val="en-US"/>
        </w:rPr>
        <w:t xml:space="preserve"> </w:t>
      </w:r>
      <w:proofErr w:type="spellStart"/>
      <w:r w:rsidRPr="007C270E">
        <w:rPr>
          <w:bCs/>
          <w:lang w:val="en-US"/>
        </w:rPr>
        <w:t>karena</w:t>
      </w:r>
      <w:proofErr w:type="spellEnd"/>
      <w:r w:rsidRPr="007C270E">
        <w:rPr>
          <w:bCs/>
          <w:lang w:val="en-US"/>
        </w:rPr>
        <w:t xml:space="preserve"> </w:t>
      </w:r>
      <w:proofErr w:type="spellStart"/>
      <w:r w:rsidRPr="007C270E">
        <w:rPr>
          <w:bCs/>
          <w:lang w:val="en-US"/>
        </w:rPr>
        <w:t>harus</w:t>
      </w:r>
      <w:proofErr w:type="spellEnd"/>
      <w:r w:rsidRPr="007C270E">
        <w:rPr>
          <w:bCs/>
          <w:lang w:val="en-US"/>
        </w:rPr>
        <w:t xml:space="preserve"> </w:t>
      </w:r>
      <w:proofErr w:type="spellStart"/>
      <w:r w:rsidRPr="007C270E">
        <w:rPr>
          <w:bCs/>
          <w:lang w:val="en-US"/>
        </w:rPr>
        <w:t>menghadapi</w:t>
      </w:r>
      <w:proofErr w:type="spellEnd"/>
      <w:r w:rsidRPr="007C270E">
        <w:rPr>
          <w:bCs/>
          <w:lang w:val="en-US"/>
        </w:rPr>
        <w:t xml:space="preserve"> </w:t>
      </w:r>
      <w:proofErr w:type="spellStart"/>
      <w:r w:rsidRPr="007C270E">
        <w:rPr>
          <w:bCs/>
          <w:lang w:val="en-US"/>
        </w:rPr>
        <w:t>penyakit</w:t>
      </w:r>
      <w:proofErr w:type="spellEnd"/>
      <w:r w:rsidRPr="007C270E">
        <w:rPr>
          <w:bCs/>
          <w:lang w:val="en-US"/>
        </w:rPr>
        <w:t xml:space="preserve"> </w:t>
      </w:r>
      <w:proofErr w:type="spellStart"/>
      <w:r w:rsidRPr="007C270E">
        <w:rPr>
          <w:bCs/>
          <w:lang w:val="en-US"/>
        </w:rPr>
        <w:t>seumur</w:t>
      </w:r>
      <w:proofErr w:type="spellEnd"/>
      <w:r w:rsidRPr="007C270E">
        <w:rPr>
          <w:bCs/>
          <w:lang w:val="en-US"/>
        </w:rPr>
        <w:t xml:space="preserve"> </w:t>
      </w:r>
      <w:proofErr w:type="spellStart"/>
      <w:r w:rsidRPr="007C270E">
        <w:rPr>
          <w:bCs/>
          <w:lang w:val="en-US"/>
        </w:rPr>
        <w:t>hidup</w:t>
      </w:r>
      <w:proofErr w:type="spellEnd"/>
      <w:r w:rsidRPr="007C270E">
        <w:rPr>
          <w:bCs/>
          <w:lang w:val="en-US"/>
        </w:rPr>
        <w:t xml:space="preserve"> </w:t>
      </w:r>
      <w:proofErr w:type="spellStart"/>
      <w:r w:rsidRPr="007C270E">
        <w:rPr>
          <w:bCs/>
          <w:lang w:val="en-US"/>
        </w:rPr>
        <w:t>sekaligus</w:t>
      </w:r>
      <w:proofErr w:type="spellEnd"/>
      <w:r w:rsidRPr="007C270E">
        <w:rPr>
          <w:bCs/>
          <w:lang w:val="en-US"/>
        </w:rPr>
        <w:t xml:space="preserve"> </w:t>
      </w:r>
      <w:proofErr w:type="spellStart"/>
      <w:r w:rsidRPr="007C270E">
        <w:rPr>
          <w:bCs/>
          <w:lang w:val="en-US"/>
        </w:rPr>
        <w:t>menjalani</w:t>
      </w:r>
      <w:proofErr w:type="spellEnd"/>
      <w:r w:rsidRPr="007C270E">
        <w:rPr>
          <w:bCs/>
          <w:lang w:val="en-US"/>
        </w:rPr>
        <w:t xml:space="preserve"> </w:t>
      </w:r>
      <w:proofErr w:type="spellStart"/>
      <w:r w:rsidRPr="007C270E">
        <w:rPr>
          <w:bCs/>
          <w:lang w:val="en-US"/>
        </w:rPr>
        <w:t>prosedur</w:t>
      </w:r>
      <w:proofErr w:type="spellEnd"/>
      <w:r w:rsidRPr="007C270E">
        <w:rPr>
          <w:bCs/>
          <w:lang w:val="en-US"/>
        </w:rPr>
        <w:t xml:space="preserve"> </w:t>
      </w:r>
      <w:proofErr w:type="spellStart"/>
      <w:r w:rsidRPr="007C270E">
        <w:rPr>
          <w:bCs/>
          <w:lang w:val="en-US"/>
        </w:rPr>
        <w:t>terapi</w:t>
      </w:r>
      <w:proofErr w:type="spellEnd"/>
      <w:r w:rsidRPr="007C270E">
        <w:rPr>
          <w:bCs/>
          <w:lang w:val="en-US"/>
        </w:rPr>
        <w:t xml:space="preserve"> yang </w:t>
      </w:r>
      <w:proofErr w:type="spellStart"/>
      <w:r w:rsidRPr="007C270E">
        <w:rPr>
          <w:bCs/>
          <w:lang w:val="en-US"/>
        </w:rPr>
        <w:t>melelahkan</w:t>
      </w:r>
      <w:proofErr w:type="spellEnd"/>
      <w:r w:rsidRPr="007C270E">
        <w:rPr>
          <w:bCs/>
          <w:lang w:val="en-US"/>
        </w:rPr>
        <w:t xml:space="preserve">. </w:t>
      </w:r>
      <w:proofErr w:type="spellStart"/>
      <w:r w:rsidRPr="007C270E">
        <w:rPr>
          <w:bCs/>
          <w:lang w:val="en-US"/>
        </w:rPr>
        <w:t>Akibatnya</w:t>
      </w:r>
      <w:proofErr w:type="spellEnd"/>
      <w:r w:rsidRPr="007C270E">
        <w:rPr>
          <w:bCs/>
          <w:lang w:val="en-US"/>
        </w:rPr>
        <w:t xml:space="preserve">, </w:t>
      </w:r>
      <w:proofErr w:type="spellStart"/>
      <w:r w:rsidRPr="007C270E">
        <w:rPr>
          <w:bCs/>
          <w:lang w:val="en-US"/>
        </w:rPr>
        <w:t>kualitas</w:t>
      </w:r>
      <w:proofErr w:type="spellEnd"/>
      <w:r w:rsidRPr="007C270E">
        <w:rPr>
          <w:bCs/>
          <w:lang w:val="en-US"/>
        </w:rPr>
        <w:t xml:space="preserve"> </w:t>
      </w:r>
      <w:proofErr w:type="spellStart"/>
      <w:r w:rsidRPr="007C270E">
        <w:rPr>
          <w:bCs/>
          <w:lang w:val="en-US"/>
        </w:rPr>
        <w:t>hidup</w:t>
      </w:r>
      <w:proofErr w:type="spellEnd"/>
      <w:r w:rsidRPr="007C270E">
        <w:rPr>
          <w:bCs/>
          <w:lang w:val="en-US"/>
        </w:rPr>
        <w:t xml:space="preserve"> </w:t>
      </w:r>
      <w:proofErr w:type="spellStart"/>
      <w:r w:rsidRPr="007C270E">
        <w:rPr>
          <w:bCs/>
          <w:lang w:val="en-US"/>
        </w:rPr>
        <w:t>pasien</w:t>
      </w:r>
      <w:proofErr w:type="spellEnd"/>
      <w:r w:rsidRPr="007C270E">
        <w:rPr>
          <w:bCs/>
          <w:lang w:val="en-US"/>
        </w:rPr>
        <w:t xml:space="preserve"> </w:t>
      </w:r>
      <w:proofErr w:type="spellStart"/>
      <w:r w:rsidRPr="007C270E">
        <w:rPr>
          <w:bCs/>
          <w:lang w:val="en-US"/>
        </w:rPr>
        <w:t>dengan</w:t>
      </w:r>
      <w:proofErr w:type="spellEnd"/>
      <w:r w:rsidRPr="007C270E">
        <w:rPr>
          <w:bCs/>
          <w:lang w:val="en-US"/>
        </w:rPr>
        <w:t xml:space="preserve"> </w:t>
      </w:r>
      <w:proofErr w:type="spellStart"/>
      <w:r w:rsidRPr="007C270E">
        <w:rPr>
          <w:bCs/>
          <w:lang w:val="en-US"/>
        </w:rPr>
        <w:t>gagal</w:t>
      </w:r>
      <w:proofErr w:type="spellEnd"/>
      <w:r w:rsidRPr="007C270E">
        <w:rPr>
          <w:bCs/>
          <w:lang w:val="en-US"/>
        </w:rPr>
        <w:t xml:space="preserve"> </w:t>
      </w:r>
      <w:proofErr w:type="spellStart"/>
      <w:r w:rsidRPr="007C270E">
        <w:rPr>
          <w:bCs/>
          <w:lang w:val="en-US"/>
        </w:rPr>
        <w:t>ginjal</w:t>
      </w:r>
      <w:proofErr w:type="spellEnd"/>
      <w:r w:rsidRPr="007C270E">
        <w:rPr>
          <w:bCs/>
          <w:lang w:val="en-US"/>
        </w:rPr>
        <w:t xml:space="preserve"> </w:t>
      </w:r>
      <w:proofErr w:type="spellStart"/>
      <w:r w:rsidRPr="007C270E">
        <w:rPr>
          <w:bCs/>
          <w:lang w:val="en-US"/>
        </w:rPr>
        <w:t>kronik</w:t>
      </w:r>
      <w:proofErr w:type="spellEnd"/>
      <w:r w:rsidRPr="007C270E">
        <w:rPr>
          <w:bCs/>
          <w:lang w:val="en-US"/>
        </w:rPr>
        <w:t xml:space="preserve"> </w:t>
      </w:r>
      <w:proofErr w:type="spellStart"/>
      <w:r w:rsidRPr="007C270E">
        <w:rPr>
          <w:bCs/>
          <w:lang w:val="en-US"/>
        </w:rPr>
        <w:t>relatif</w:t>
      </w:r>
      <w:proofErr w:type="spellEnd"/>
      <w:r w:rsidRPr="007C270E">
        <w:rPr>
          <w:bCs/>
          <w:lang w:val="en-US"/>
        </w:rPr>
        <w:t xml:space="preserve"> </w:t>
      </w:r>
      <w:proofErr w:type="spellStart"/>
      <w:r w:rsidRPr="007C270E">
        <w:rPr>
          <w:bCs/>
          <w:lang w:val="en-US"/>
        </w:rPr>
        <w:t>lebih</w:t>
      </w:r>
      <w:proofErr w:type="spellEnd"/>
      <w:r w:rsidRPr="007C270E">
        <w:rPr>
          <w:bCs/>
          <w:lang w:val="en-US"/>
        </w:rPr>
        <w:t xml:space="preserve"> </w:t>
      </w:r>
      <w:proofErr w:type="spellStart"/>
      <w:r w:rsidRPr="007C270E">
        <w:rPr>
          <w:bCs/>
          <w:lang w:val="en-US"/>
        </w:rPr>
        <w:t>rendah</w:t>
      </w:r>
      <w:proofErr w:type="spellEnd"/>
      <w:r w:rsidRPr="007C270E">
        <w:rPr>
          <w:bCs/>
          <w:lang w:val="en-US"/>
        </w:rPr>
        <w:t xml:space="preserve"> </w:t>
      </w:r>
      <w:proofErr w:type="spellStart"/>
      <w:r w:rsidRPr="007C270E">
        <w:rPr>
          <w:bCs/>
          <w:lang w:val="en-US"/>
        </w:rPr>
        <w:t>dibandingkan</w:t>
      </w:r>
      <w:proofErr w:type="spellEnd"/>
      <w:r w:rsidRPr="007C270E">
        <w:rPr>
          <w:bCs/>
          <w:lang w:val="en-US"/>
        </w:rPr>
        <w:t xml:space="preserve"> </w:t>
      </w:r>
      <w:proofErr w:type="spellStart"/>
      <w:r w:rsidRPr="007C270E">
        <w:rPr>
          <w:bCs/>
          <w:lang w:val="en-US"/>
        </w:rPr>
        <w:t>penderita</w:t>
      </w:r>
      <w:proofErr w:type="spellEnd"/>
      <w:r w:rsidRPr="007C270E">
        <w:rPr>
          <w:bCs/>
          <w:lang w:val="en-US"/>
        </w:rPr>
        <w:t xml:space="preserve"> </w:t>
      </w:r>
      <w:proofErr w:type="spellStart"/>
      <w:r w:rsidRPr="007C270E">
        <w:rPr>
          <w:bCs/>
          <w:lang w:val="en-US"/>
        </w:rPr>
        <w:t>penyakit</w:t>
      </w:r>
      <w:proofErr w:type="spellEnd"/>
      <w:r w:rsidRPr="007C270E">
        <w:rPr>
          <w:bCs/>
          <w:lang w:val="en-US"/>
        </w:rPr>
        <w:t xml:space="preserve"> </w:t>
      </w:r>
      <w:proofErr w:type="spellStart"/>
      <w:r w:rsidRPr="007C270E">
        <w:rPr>
          <w:bCs/>
          <w:lang w:val="en-US"/>
        </w:rPr>
        <w:t>kronis</w:t>
      </w:r>
      <w:proofErr w:type="spellEnd"/>
      <w:r w:rsidRPr="007C270E">
        <w:rPr>
          <w:bCs/>
          <w:lang w:val="en-US"/>
        </w:rPr>
        <w:t xml:space="preserve"> </w:t>
      </w:r>
      <w:proofErr w:type="spellStart"/>
      <w:r w:rsidRPr="007C270E">
        <w:rPr>
          <w:bCs/>
          <w:lang w:val="en-US"/>
        </w:rPr>
        <w:t>lain</w:t>
      </w:r>
      <w:proofErr w:type="spellEnd"/>
      <w:r w:rsidRPr="007C270E">
        <w:rPr>
          <w:bCs/>
          <w:lang w:val="en-US"/>
        </w:rPr>
        <w:t>.</w:t>
      </w:r>
    </w:p>
    <w:p w14:paraId="225BDDC7" w14:textId="73922054" w:rsidR="007C270E" w:rsidRPr="007C270E" w:rsidRDefault="007C270E" w:rsidP="007C270E">
      <w:pPr>
        <w:pStyle w:val="BodyText"/>
        <w:spacing w:line="360" w:lineRule="auto"/>
        <w:ind w:left="426" w:firstLine="751"/>
        <w:jc w:val="both"/>
        <w:rPr>
          <w:bCs/>
          <w:lang w:val="en-US"/>
        </w:rPr>
      </w:pPr>
      <w:proofErr w:type="spellStart"/>
      <w:r w:rsidRPr="007C270E">
        <w:rPr>
          <w:bCs/>
          <w:lang w:val="en-US"/>
        </w:rPr>
        <w:t>Berdasarkan</w:t>
      </w:r>
      <w:proofErr w:type="spellEnd"/>
      <w:r w:rsidRPr="007C270E">
        <w:rPr>
          <w:bCs/>
          <w:lang w:val="en-US"/>
        </w:rPr>
        <w:t xml:space="preserve"> </w:t>
      </w:r>
      <w:proofErr w:type="spellStart"/>
      <w:r w:rsidRPr="007C270E">
        <w:rPr>
          <w:bCs/>
          <w:lang w:val="en-US"/>
        </w:rPr>
        <w:t>wawancara</w:t>
      </w:r>
      <w:proofErr w:type="spellEnd"/>
      <w:r w:rsidRPr="007C270E">
        <w:rPr>
          <w:bCs/>
          <w:lang w:val="en-US"/>
        </w:rPr>
        <w:t xml:space="preserve"> yang </w:t>
      </w:r>
      <w:proofErr w:type="spellStart"/>
      <w:r w:rsidRPr="007C270E">
        <w:rPr>
          <w:bCs/>
          <w:lang w:val="en-US"/>
        </w:rPr>
        <w:t>dilakukan</w:t>
      </w:r>
      <w:proofErr w:type="spellEnd"/>
      <w:r w:rsidRPr="007C270E">
        <w:rPr>
          <w:bCs/>
          <w:lang w:val="en-US"/>
        </w:rPr>
        <w:t xml:space="preserve"> pada 23 April 2025, salah </w:t>
      </w:r>
      <w:proofErr w:type="spellStart"/>
      <w:r w:rsidRPr="007C270E">
        <w:rPr>
          <w:bCs/>
          <w:lang w:val="en-US"/>
        </w:rPr>
        <w:t>satu</w:t>
      </w:r>
      <w:proofErr w:type="spellEnd"/>
      <w:r w:rsidRPr="007C270E">
        <w:rPr>
          <w:bCs/>
          <w:lang w:val="en-US"/>
        </w:rPr>
        <w:t xml:space="preserve"> </w:t>
      </w:r>
      <w:proofErr w:type="spellStart"/>
      <w:r w:rsidRPr="007C270E">
        <w:rPr>
          <w:bCs/>
          <w:lang w:val="en-US"/>
        </w:rPr>
        <w:t>pasien</w:t>
      </w:r>
      <w:proofErr w:type="spellEnd"/>
      <w:r w:rsidRPr="007C270E">
        <w:rPr>
          <w:bCs/>
          <w:lang w:val="en-US"/>
        </w:rPr>
        <w:t xml:space="preserve"> </w:t>
      </w:r>
      <w:proofErr w:type="spellStart"/>
      <w:r w:rsidRPr="007C270E">
        <w:rPr>
          <w:bCs/>
          <w:lang w:val="en-US"/>
        </w:rPr>
        <w:t>menyebutkan</w:t>
      </w:r>
      <w:proofErr w:type="spellEnd"/>
      <w:r w:rsidRPr="007C270E">
        <w:rPr>
          <w:bCs/>
          <w:lang w:val="en-US"/>
        </w:rPr>
        <w:t xml:space="preserve"> </w:t>
      </w:r>
      <w:proofErr w:type="spellStart"/>
      <w:r w:rsidRPr="007C270E">
        <w:rPr>
          <w:bCs/>
          <w:lang w:val="en-US"/>
        </w:rPr>
        <w:t>bahwa</w:t>
      </w:r>
      <w:proofErr w:type="spellEnd"/>
      <w:r w:rsidRPr="007C270E">
        <w:rPr>
          <w:bCs/>
          <w:lang w:val="en-US"/>
        </w:rPr>
        <w:t xml:space="preserve"> </w:t>
      </w:r>
      <w:proofErr w:type="spellStart"/>
      <w:r w:rsidRPr="007C270E">
        <w:rPr>
          <w:bCs/>
          <w:lang w:val="en-US"/>
        </w:rPr>
        <w:t>ia</w:t>
      </w:r>
      <w:proofErr w:type="spellEnd"/>
      <w:r w:rsidRPr="007C270E">
        <w:rPr>
          <w:bCs/>
          <w:lang w:val="en-US"/>
        </w:rPr>
        <w:t xml:space="preserve"> </w:t>
      </w:r>
      <w:proofErr w:type="spellStart"/>
      <w:r w:rsidRPr="007C270E">
        <w:rPr>
          <w:bCs/>
          <w:lang w:val="en-US"/>
        </w:rPr>
        <w:t>memerlukan</w:t>
      </w:r>
      <w:proofErr w:type="spellEnd"/>
      <w:r w:rsidRPr="007C270E">
        <w:rPr>
          <w:bCs/>
          <w:lang w:val="en-US"/>
        </w:rPr>
        <w:t xml:space="preserve"> </w:t>
      </w:r>
      <w:proofErr w:type="spellStart"/>
      <w:r w:rsidRPr="007C270E">
        <w:rPr>
          <w:bCs/>
          <w:lang w:val="en-US"/>
        </w:rPr>
        <w:t>waktu</w:t>
      </w:r>
      <w:proofErr w:type="spellEnd"/>
      <w:r w:rsidRPr="007C270E">
        <w:rPr>
          <w:bCs/>
          <w:lang w:val="en-US"/>
        </w:rPr>
        <w:t xml:space="preserve"> </w:t>
      </w:r>
      <w:proofErr w:type="spellStart"/>
      <w:r w:rsidRPr="007C270E">
        <w:rPr>
          <w:bCs/>
          <w:lang w:val="en-US"/>
        </w:rPr>
        <w:t>beberapa</w:t>
      </w:r>
      <w:proofErr w:type="spellEnd"/>
      <w:r w:rsidRPr="007C270E">
        <w:rPr>
          <w:bCs/>
          <w:lang w:val="en-US"/>
        </w:rPr>
        <w:t xml:space="preserve"> </w:t>
      </w:r>
      <w:proofErr w:type="spellStart"/>
      <w:r w:rsidRPr="007C270E">
        <w:rPr>
          <w:bCs/>
          <w:lang w:val="en-US"/>
        </w:rPr>
        <w:t>bulan</w:t>
      </w:r>
      <w:proofErr w:type="spellEnd"/>
      <w:r w:rsidRPr="007C270E">
        <w:rPr>
          <w:bCs/>
          <w:lang w:val="en-US"/>
        </w:rPr>
        <w:t xml:space="preserve"> </w:t>
      </w:r>
      <w:proofErr w:type="spellStart"/>
      <w:r w:rsidRPr="007C270E">
        <w:rPr>
          <w:bCs/>
          <w:lang w:val="en-US"/>
        </w:rPr>
        <w:t>untuk</w:t>
      </w:r>
      <w:proofErr w:type="spellEnd"/>
      <w:r w:rsidRPr="007C270E">
        <w:rPr>
          <w:bCs/>
          <w:lang w:val="en-US"/>
        </w:rPr>
        <w:t xml:space="preserve"> </w:t>
      </w:r>
      <w:proofErr w:type="spellStart"/>
      <w:r w:rsidRPr="007C270E">
        <w:rPr>
          <w:bCs/>
          <w:lang w:val="en-US"/>
        </w:rPr>
        <w:t>beradaptasi</w:t>
      </w:r>
      <w:proofErr w:type="spellEnd"/>
      <w:r w:rsidRPr="007C270E">
        <w:rPr>
          <w:bCs/>
          <w:lang w:val="en-US"/>
        </w:rPr>
        <w:t xml:space="preserve"> </w:t>
      </w:r>
      <w:proofErr w:type="spellStart"/>
      <w:r w:rsidRPr="007C270E">
        <w:rPr>
          <w:bCs/>
          <w:lang w:val="en-US"/>
        </w:rPr>
        <w:t>hingga</w:t>
      </w:r>
      <w:proofErr w:type="spellEnd"/>
      <w:r w:rsidRPr="007C270E">
        <w:rPr>
          <w:bCs/>
          <w:lang w:val="en-US"/>
        </w:rPr>
        <w:t xml:space="preserve"> </w:t>
      </w:r>
      <w:proofErr w:type="spellStart"/>
      <w:r w:rsidRPr="007C270E">
        <w:rPr>
          <w:bCs/>
          <w:lang w:val="en-US"/>
        </w:rPr>
        <w:t>mantap</w:t>
      </w:r>
      <w:proofErr w:type="spellEnd"/>
      <w:r w:rsidRPr="007C270E">
        <w:rPr>
          <w:bCs/>
          <w:lang w:val="en-US"/>
        </w:rPr>
        <w:t xml:space="preserve"> </w:t>
      </w:r>
      <w:proofErr w:type="spellStart"/>
      <w:r w:rsidRPr="007C270E">
        <w:rPr>
          <w:bCs/>
          <w:lang w:val="en-US"/>
        </w:rPr>
        <w:t>menjalani</w:t>
      </w:r>
      <w:proofErr w:type="spellEnd"/>
      <w:r w:rsidRPr="007C270E">
        <w:rPr>
          <w:bCs/>
          <w:lang w:val="en-US"/>
        </w:rPr>
        <w:t xml:space="preserve"> </w:t>
      </w:r>
      <w:proofErr w:type="spellStart"/>
      <w:r w:rsidRPr="007C270E">
        <w:rPr>
          <w:bCs/>
          <w:lang w:val="en-US"/>
        </w:rPr>
        <w:t>hemodialisis</w:t>
      </w:r>
      <w:proofErr w:type="spellEnd"/>
      <w:r w:rsidRPr="007C270E">
        <w:rPr>
          <w:bCs/>
          <w:lang w:val="en-US"/>
        </w:rPr>
        <w:t xml:space="preserve">. Dari </w:t>
      </w:r>
      <w:proofErr w:type="spellStart"/>
      <w:r w:rsidRPr="007C270E">
        <w:rPr>
          <w:bCs/>
          <w:lang w:val="en-US"/>
        </w:rPr>
        <w:t>hasil</w:t>
      </w:r>
      <w:proofErr w:type="spellEnd"/>
      <w:r w:rsidRPr="007C270E">
        <w:rPr>
          <w:bCs/>
          <w:lang w:val="en-US"/>
        </w:rPr>
        <w:t xml:space="preserve"> </w:t>
      </w:r>
      <w:proofErr w:type="spellStart"/>
      <w:r w:rsidRPr="007C270E">
        <w:rPr>
          <w:bCs/>
          <w:lang w:val="en-US"/>
        </w:rPr>
        <w:t>survei</w:t>
      </w:r>
      <w:proofErr w:type="spellEnd"/>
      <w:r w:rsidRPr="007C270E">
        <w:rPr>
          <w:bCs/>
          <w:lang w:val="en-US"/>
        </w:rPr>
        <w:t xml:space="preserve"> </w:t>
      </w:r>
      <w:proofErr w:type="spellStart"/>
      <w:r w:rsidRPr="007C270E">
        <w:rPr>
          <w:bCs/>
          <w:lang w:val="en-US"/>
        </w:rPr>
        <w:t>awal</w:t>
      </w:r>
      <w:proofErr w:type="spellEnd"/>
      <w:r w:rsidRPr="007C270E">
        <w:rPr>
          <w:bCs/>
          <w:lang w:val="en-US"/>
        </w:rPr>
        <w:t xml:space="preserve"> di RS </w:t>
      </w:r>
      <w:proofErr w:type="spellStart"/>
      <w:r w:rsidRPr="007C270E">
        <w:rPr>
          <w:bCs/>
          <w:lang w:val="en-US"/>
        </w:rPr>
        <w:t>Bhina</w:t>
      </w:r>
      <w:proofErr w:type="spellEnd"/>
      <w:r w:rsidRPr="007C270E">
        <w:rPr>
          <w:bCs/>
          <w:lang w:val="en-US"/>
        </w:rPr>
        <w:t xml:space="preserve"> Bhakti </w:t>
      </w:r>
      <w:proofErr w:type="spellStart"/>
      <w:r w:rsidRPr="007C270E">
        <w:rPr>
          <w:bCs/>
          <w:lang w:val="en-US"/>
        </w:rPr>
        <w:t>Husada</w:t>
      </w:r>
      <w:proofErr w:type="spellEnd"/>
      <w:r w:rsidRPr="007C270E">
        <w:rPr>
          <w:bCs/>
          <w:lang w:val="en-US"/>
        </w:rPr>
        <w:t xml:space="preserve"> </w:t>
      </w:r>
      <w:proofErr w:type="spellStart"/>
      <w:r w:rsidRPr="007C270E">
        <w:rPr>
          <w:bCs/>
          <w:lang w:val="en-US"/>
        </w:rPr>
        <w:t>Rembang</w:t>
      </w:r>
      <w:proofErr w:type="spellEnd"/>
      <w:r w:rsidRPr="007C270E">
        <w:rPr>
          <w:bCs/>
          <w:lang w:val="en-US"/>
        </w:rPr>
        <w:t xml:space="preserve">, </w:t>
      </w:r>
      <w:proofErr w:type="spellStart"/>
      <w:r w:rsidRPr="007C270E">
        <w:rPr>
          <w:bCs/>
          <w:lang w:val="en-US"/>
        </w:rPr>
        <w:t>tercatat</w:t>
      </w:r>
      <w:proofErr w:type="spellEnd"/>
      <w:r w:rsidRPr="007C270E">
        <w:rPr>
          <w:bCs/>
          <w:lang w:val="en-US"/>
        </w:rPr>
        <w:t xml:space="preserve"> </w:t>
      </w:r>
      <w:proofErr w:type="spellStart"/>
      <w:r w:rsidRPr="007C270E">
        <w:rPr>
          <w:bCs/>
          <w:lang w:val="en-US"/>
        </w:rPr>
        <w:t>terdapat</w:t>
      </w:r>
      <w:proofErr w:type="spellEnd"/>
      <w:r w:rsidRPr="007C270E">
        <w:rPr>
          <w:bCs/>
          <w:lang w:val="en-US"/>
        </w:rPr>
        <w:t xml:space="preserve"> 55 </w:t>
      </w:r>
      <w:proofErr w:type="spellStart"/>
      <w:r w:rsidRPr="007C270E">
        <w:rPr>
          <w:bCs/>
          <w:lang w:val="en-US"/>
        </w:rPr>
        <w:t>pasien</w:t>
      </w:r>
      <w:proofErr w:type="spellEnd"/>
      <w:r w:rsidRPr="007C270E">
        <w:rPr>
          <w:bCs/>
          <w:lang w:val="en-US"/>
        </w:rPr>
        <w:t xml:space="preserve"> yang </w:t>
      </w:r>
      <w:proofErr w:type="spellStart"/>
      <w:r w:rsidRPr="007C270E">
        <w:rPr>
          <w:bCs/>
          <w:lang w:val="en-US"/>
        </w:rPr>
        <w:t>menjalani</w:t>
      </w:r>
      <w:proofErr w:type="spellEnd"/>
      <w:r w:rsidRPr="007C270E">
        <w:rPr>
          <w:bCs/>
          <w:lang w:val="en-US"/>
        </w:rPr>
        <w:t xml:space="preserve"> </w:t>
      </w:r>
      <w:proofErr w:type="spellStart"/>
      <w:r w:rsidRPr="007C270E">
        <w:rPr>
          <w:bCs/>
          <w:lang w:val="en-US"/>
        </w:rPr>
        <w:t>terapi</w:t>
      </w:r>
      <w:proofErr w:type="spellEnd"/>
      <w:r w:rsidRPr="007C270E">
        <w:rPr>
          <w:bCs/>
          <w:lang w:val="en-US"/>
        </w:rPr>
        <w:t xml:space="preserve"> </w:t>
      </w:r>
      <w:proofErr w:type="spellStart"/>
      <w:r w:rsidRPr="007C270E">
        <w:rPr>
          <w:bCs/>
          <w:lang w:val="en-US"/>
        </w:rPr>
        <w:t>hemodialisis</w:t>
      </w:r>
      <w:proofErr w:type="spellEnd"/>
      <w:r w:rsidRPr="007C270E">
        <w:rPr>
          <w:bCs/>
          <w:lang w:val="en-US"/>
        </w:rPr>
        <w:t xml:space="preserve"> pada </w:t>
      </w:r>
      <w:proofErr w:type="spellStart"/>
      <w:r w:rsidRPr="007C270E">
        <w:rPr>
          <w:bCs/>
          <w:lang w:val="en-US"/>
        </w:rPr>
        <w:t>periode</w:t>
      </w:r>
      <w:proofErr w:type="spellEnd"/>
      <w:r w:rsidRPr="007C270E">
        <w:rPr>
          <w:bCs/>
          <w:lang w:val="en-US"/>
        </w:rPr>
        <w:t xml:space="preserve"> Januari–Maret 2025. Hal </w:t>
      </w:r>
      <w:proofErr w:type="spellStart"/>
      <w:r w:rsidRPr="007C270E">
        <w:rPr>
          <w:bCs/>
          <w:lang w:val="en-US"/>
        </w:rPr>
        <w:t>ini</w:t>
      </w:r>
      <w:proofErr w:type="spellEnd"/>
      <w:r w:rsidRPr="007C270E">
        <w:rPr>
          <w:bCs/>
          <w:lang w:val="en-US"/>
        </w:rPr>
        <w:t xml:space="preserve"> </w:t>
      </w:r>
      <w:proofErr w:type="spellStart"/>
      <w:r w:rsidRPr="007C270E">
        <w:rPr>
          <w:bCs/>
          <w:lang w:val="en-US"/>
        </w:rPr>
        <w:t>menjadi</w:t>
      </w:r>
      <w:proofErr w:type="spellEnd"/>
      <w:r w:rsidRPr="007C270E">
        <w:rPr>
          <w:bCs/>
          <w:lang w:val="en-US"/>
        </w:rPr>
        <w:t xml:space="preserve"> </w:t>
      </w:r>
      <w:proofErr w:type="spellStart"/>
      <w:r w:rsidRPr="007C270E">
        <w:rPr>
          <w:bCs/>
          <w:lang w:val="en-US"/>
        </w:rPr>
        <w:t>dasar</w:t>
      </w:r>
      <w:proofErr w:type="spellEnd"/>
      <w:r w:rsidRPr="007C270E">
        <w:rPr>
          <w:bCs/>
          <w:lang w:val="en-US"/>
        </w:rPr>
        <w:t xml:space="preserve"> </w:t>
      </w:r>
      <w:proofErr w:type="spellStart"/>
      <w:r w:rsidRPr="007C270E">
        <w:rPr>
          <w:bCs/>
          <w:lang w:val="en-US"/>
        </w:rPr>
        <w:t>pemilihan</w:t>
      </w:r>
      <w:proofErr w:type="spellEnd"/>
      <w:r w:rsidRPr="007C270E">
        <w:rPr>
          <w:bCs/>
          <w:lang w:val="en-US"/>
        </w:rPr>
        <w:t xml:space="preserve"> </w:t>
      </w:r>
      <w:proofErr w:type="spellStart"/>
      <w:r w:rsidRPr="007C270E">
        <w:rPr>
          <w:bCs/>
          <w:lang w:val="en-US"/>
        </w:rPr>
        <w:t>topik</w:t>
      </w:r>
      <w:proofErr w:type="spellEnd"/>
      <w:r w:rsidRPr="007C270E">
        <w:rPr>
          <w:bCs/>
          <w:lang w:val="en-US"/>
        </w:rPr>
        <w:t xml:space="preserve"> </w:t>
      </w:r>
      <w:proofErr w:type="spellStart"/>
      <w:r w:rsidRPr="007C270E">
        <w:rPr>
          <w:bCs/>
          <w:lang w:val="en-US"/>
        </w:rPr>
        <w:t>penelitian</w:t>
      </w:r>
      <w:proofErr w:type="spellEnd"/>
      <w:r w:rsidRPr="007C270E">
        <w:rPr>
          <w:bCs/>
          <w:lang w:val="en-US"/>
        </w:rPr>
        <w:t xml:space="preserve"> </w:t>
      </w:r>
      <w:proofErr w:type="spellStart"/>
      <w:r w:rsidRPr="007C270E">
        <w:rPr>
          <w:bCs/>
          <w:lang w:val="en-US"/>
        </w:rPr>
        <w:t>berjudul</w:t>
      </w:r>
      <w:proofErr w:type="spellEnd"/>
      <w:r w:rsidRPr="007C270E">
        <w:rPr>
          <w:bCs/>
          <w:lang w:val="en-US"/>
        </w:rPr>
        <w:t xml:space="preserve"> “</w:t>
      </w:r>
      <w:proofErr w:type="spellStart"/>
      <w:r w:rsidRPr="007C270E">
        <w:rPr>
          <w:bCs/>
          <w:lang w:val="en-US"/>
        </w:rPr>
        <w:t>Hubungan</w:t>
      </w:r>
      <w:proofErr w:type="spellEnd"/>
      <w:r w:rsidRPr="007C270E">
        <w:rPr>
          <w:bCs/>
          <w:lang w:val="en-US"/>
        </w:rPr>
        <w:t xml:space="preserve"> </w:t>
      </w:r>
      <w:proofErr w:type="spellStart"/>
      <w:r w:rsidRPr="007C270E">
        <w:rPr>
          <w:bCs/>
          <w:lang w:val="en-US"/>
        </w:rPr>
        <w:t>Kepatuhan</w:t>
      </w:r>
      <w:proofErr w:type="spellEnd"/>
      <w:r w:rsidRPr="007C270E">
        <w:rPr>
          <w:bCs/>
          <w:lang w:val="en-US"/>
        </w:rPr>
        <w:t xml:space="preserve"> </w:t>
      </w:r>
      <w:proofErr w:type="spellStart"/>
      <w:r w:rsidRPr="007C270E">
        <w:rPr>
          <w:bCs/>
          <w:lang w:val="en-US"/>
        </w:rPr>
        <w:t>Terhadap</w:t>
      </w:r>
      <w:proofErr w:type="spellEnd"/>
      <w:r w:rsidRPr="007C270E">
        <w:rPr>
          <w:bCs/>
          <w:lang w:val="en-US"/>
        </w:rPr>
        <w:t xml:space="preserve"> </w:t>
      </w:r>
      <w:proofErr w:type="spellStart"/>
      <w:r w:rsidRPr="007C270E">
        <w:rPr>
          <w:bCs/>
          <w:lang w:val="en-US"/>
        </w:rPr>
        <w:t>Kualitas</w:t>
      </w:r>
      <w:proofErr w:type="spellEnd"/>
      <w:r w:rsidRPr="007C270E">
        <w:rPr>
          <w:bCs/>
          <w:lang w:val="en-US"/>
        </w:rPr>
        <w:t xml:space="preserve"> Hidup </w:t>
      </w:r>
      <w:proofErr w:type="spellStart"/>
      <w:r w:rsidRPr="007C270E">
        <w:rPr>
          <w:bCs/>
          <w:lang w:val="en-US"/>
        </w:rPr>
        <w:t>Pasien</w:t>
      </w:r>
      <w:proofErr w:type="spellEnd"/>
      <w:r w:rsidRPr="007C270E">
        <w:rPr>
          <w:bCs/>
          <w:lang w:val="en-US"/>
        </w:rPr>
        <w:t xml:space="preserve"> </w:t>
      </w:r>
      <w:proofErr w:type="spellStart"/>
      <w:r w:rsidRPr="007C270E">
        <w:rPr>
          <w:bCs/>
          <w:lang w:val="en-US"/>
        </w:rPr>
        <w:t>Gagal</w:t>
      </w:r>
      <w:proofErr w:type="spellEnd"/>
      <w:r w:rsidRPr="007C270E">
        <w:rPr>
          <w:bCs/>
          <w:lang w:val="en-US"/>
        </w:rPr>
        <w:t xml:space="preserve"> </w:t>
      </w:r>
      <w:proofErr w:type="spellStart"/>
      <w:r w:rsidRPr="007C270E">
        <w:rPr>
          <w:bCs/>
          <w:lang w:val="en-US"/>
        </w:rPr>
        <w:t>Ginjal</w:t>
      </w:r>
      <w:proofErr w:type="spellEnd"/>
      <w:r w:rsidRPr="007C270E">
        <w:rPr>
          <w:bCs/>
          <w:lang w:val="en-US"/>
        </w:rPr>
        <w:t xml:space="preserve"> </w:t>
      </w:r>
      <w:proofErr w:type="spellStart"/>
      <w:r w:rsidRPr="007C270E">
        <w:rPr>
          <w:bCs/>
          <w:lang w:val="en-US"/>
        </w:rPr>
        <w:t>Kronik</w:t>
      </w:r>
      <w:proofErr w:type="spellEnd"/>
      <w:r w:rsidRPr="007C270E">
        <w:rPr>
          <w:bCs/>
          <w:lang w:val="en-US"/>
        </w:rPr>
        <w:t xml:space="preserve"> yang </w:t>
      </w:r>
      <w:proofErr w:type="spellStart"/>
      <w:r w:rsidRPr="007C270E">
        <w:rPr>
          <w:bCs/>
          <w:lang w:val="en-US"/>
        </w:rPr>
        <w:t>Menjalani</w:t>
      </w:r>
      <w:proofErr w:type="spellEnd"/>
      <w:r w:rsidRPr="007C270E">
        <w:rPr>
          <w:bCs/>
          <w:lang w:val="en-US"/>
        </w:rPr>
        <w:t xml:space="preserve"> </w:t>
      </w:r>
      <w:proofErr w:type="spellStart"/>
      <w:r w:rsidRPr="007C270E">
        <w:rPr>
          <w:bCs/>
          <w:lang w:val="en-US"/>
        </w:rPr>
        <w:t>Terapi</w:t>
      </w:r>
      <w:proofErr w:type="spellEnd"/>
      <w:r w:rsidRPr="007C270E">
        <w:rPr>
          <w:bCs/>
          <w:lang w:val="en-US"/>
        </w:rPr>
        <w:t xml:space="preserve"> </w:t>
      </w:r>
      <w:proofErr w:type="spellStart"/>
      <w:r w:rsidRPr="007C270E">
        <w:rPr>
          <w:bCs/>
          <w:lang w:val="en-US"/>
        </w:rPr>
        <w:t>Hemodialisa</w:t>
      </w:r>
      <w:proofErr w:type="spellEnd"/>
      <w:r w:rsidRPr="007C270E">
        <w:rPr>
          <w:bCs/>
          <w:lang w:val="en-US"/>
        </w:rPr>
        <w:t xml:space="preserve"> di RS </w:t>
      </w:r>
      <w:proofErr w:type="spellStart"/>
      <w:r w:rsidRPr="007C270E">
        <w:rPr>
          <w:bCs/>
          <w:lang w:val="en-US"/>
        </w:rPr>
        <w:t>Bhina</w:t>
      </w:r>
      <w:proofErr w:type="spellEnd"/>
      <w:r w:rsidRPr="007C270E">
        <w:rPr>
          <w:bCs/>
          <w:lang w:val="en-US"/>
        </w:rPr>
        <w:t xml:space="preserve"> Bhakti </w:t>
      </w:r>
      <w:proofErr w:type="spellStart"/>
      <w:r w:rsidRPr="007C270E">
        <w:rPr>
          <w:bCs/>
          <w:lang w:val="en-US"/>
        </w:rPr>
        <w:t>Husada</w:t>
      </w:r>
      <w:proofErr w:type="spellEnd"/>
      <w:r w:rsidRPr="007C270E">
        <w:rPr>
          <w:bCs/>
          <w:lang w:val="en-US"/>
        </w:rPr>
        <w:t xml:space="preserve"> </w:t>
      </w:r>
      <w:proofErr w:type="spellStart"/>
      <w:r w:rsidRPr="007C270E">
        <w:rPr>
          <w:bCs/>
          <w:lang w:val="en-US"/>
        </w:rPr>
        <w:t>Rembang</w:t>
      </w:r>
      <w:proofErr w:type="spellEnd"/>
      <w:r w:rsidRPr="007C270E">
        <w:rPr>
          <w:bCs/>
          <w:lang w:val="en-US"/>
        </w:rPr>
        <w:t>.”</w:t>
      </w:r>
    </w:p>
    <w:p w14:paraId="62F0BCCF" w14:textId="3957ED0A" w:rsidR="00E9671E" w:rsidRPr="00E9671E" w:rsidRDefault="00E9671E" w:rsidP="007C270E">
      <w:pPr>
        <w:pStyle w:val="BodyText"/>
        <w:spacing w:line="360" w:lineRule="auto"/>
        <w:ind w:left="426" w:firstLine="751"/>
        <w:jc w:val="both"/>
        <w:rPr>
          <w:bCs/>
          <w:lang w:val="en-US"/>
        </w:rPr>
      </w:pPr>
    </w:p>
    <w:p w14:paraId="282B68CA" w14:textId="334659C2" w:rsidR="00840A77" w:rsidRDefault="00840A77" w:rsidP="00840A77">
      <w:pPr>
        <w:pStyle w:val="BodyText"/>
        <w:spacing w:line="360" w:lineRule="auto"/>
        <w:ind w:left="426" w:firstLine="24"/>
        <w:jc w:val="both"/>
        <w:rPr>
          <w:b/>
          <w:bCs/>
        </w:rPr>
      </w:pPr>
      <w:r>
        <w:rPr>
          <w:b/>
          <w:bCs/>
        </w:rPr>
        <w:t>METODE PENELITIAN</w:t>
      </w:r>
    </w:p>
    <w:p w14:paraId="092189F1" w14:textId="77777777" w:rsidR="007C270E" w:rsidRPr="007C270E" w:rsidRDefault="007C270E" w:rsidP="007C270E">
      <w:pPr>
        <w:pStyle w:val="BodyText"/>
        <w:spacing w:line="360" w:lineRule="auto"/>
        <w:ind w:left="426" w:firstLine="24"/>
        <w:jc w:val="both"/>
      </w:pPr>
      <w:r w:rsidRPr="007C270E">
        <w:t xml:space="preserve">Penelitian ini menggunakan pendekatan kuantitatif dengan desain deskriptif korelasional serta metode cross sectional. Populasi penelitian adalah pasien gagal ginjal kronik yang menjalani hemodialisis di ruang hemodialisa RS Bhina Bhakti Husada Rembang, dengan </w:t>
      </w:r>
      <w:r w:rsidRPr="007C270E">
        <w:lastRenderedPageBreak/>
        <w:t>pemilihan sampel berdasarkan kriteria inklusi dan eksklusi. Jumlah sampel yang terlibat sebanyak 48 responden.</w:t>
      </w:r>
    </w:p>
    <w:p w14:paraId="66B58577" w14:textId="77777777" w:rsidR="007C270E" w:rsidRPr="007C270E" w:rsidRDefault="007C270E" w:rsidP="007C270E">
      <w:pPr>
        <w:pStyle w:val="BodyText"/>
        <w:spacing w:line="360" w:lineRule="auto"/>
        <w:ind w:left="426" w:firstLine="24"/>
        <w:jc w:val="both"/>
      </w:pPr>
      <w:r w:rsidRPr="007C270E">
        <w:t>Parafrase: Pengumpulan data dilakukan pada tanggal 25 Juni 2025 di ruang hemodialisa RS Bhina Bhakti Husada Rembang. Instrumen yang digunakan berupa kuesioner kepatuhan menjalani terapi hemodialisa serta kuesioner kualitas hidup pasien gagal ginjal kronik.</w:t>
      </w:r>
    </w:p>
    <w:p w14:paraId="17A0813F" w14:textId="77777777" w:rsidR="00E9671E" w:rsidRDefault="00E9671E" w:rsidP="00840A77">
      <w:pPr>
        <w:pStyle w:val="BodyText"/>
        <w:spacing w:line="360" w:lineRule="auto"/>
        <w:ind w:left="426" w:firstLine="24"/>
        <w:jc w:val="both"/>
        <w:rPr>
          <w:b/>
          <w:bCs/>
        </w:rPr>
      </w:pPr>
    </w:p>
    <w:p w14:paraId="34162367" w14:textId="1C9FC91C" w:rsidR="00840A77" w:rsidRDefault="007A7B96" w:rsidP="00840A77">
      <w:pPr>
        <w:pStyle w:val="BodyText"/>
        <w:spacing w:line="360" w:lineRule="auto"/>
        <w:ind w:left="426" w:firstLine="24"/>
        <w:jc w:val="both"/>
        <w:rPr>
          <w:b/>
          <w:bCs/>
        </w:rPr>
      </w:pPr>
      <w:r>
        <w:rPr>
          <w:b/>
          <w:bCs/>
        </w:rPr>
        <w:t>HASIL DAN PEMBAHASAN</w:t>
      </w:r>
    </w:p>
    <w:p w14:paraId="5B5CE5C0" w14:textId="460556A9" w:rsidR="007A7B96" w:rsidRDefault="007A7B96" w:rsidP="007A7B96">
      <w:pPr>
        <w:pStyle w:val="BodyText"/>
        <w:numPr>
          <w:ilvl w:val="0"/>
          <w:numId w:val="1"/>
        </w:numPr>
        <w:spacing w:line="360" w:lineRule="auto"/>
        <w:jc w:val="both"/>
        <w:rPr>
          <w:b/>
          <w:bCs/>
        </w:rPr>
      </w:pPr>
      <w:r>
        <w:rPr>
          <w:b/>
          <w:bCs/>
        </w:rPr>
        <w:t>Hasil Penelitian</w:t>
      </w:r>
    </w:p>
    <w:p w14:paraId="35F4DE1E" w14:textId="6F62BF54" w:rsidR="007A7B96" w:rsidRDefault="00D3084B" w:rsidP="007A7B96">
      <w:pPr>
        <w:pStyle w:val="BodyText"/>
        <w:numPr>
          <w:ilvl w:val="0"/>
          <w:numId w:val="2"/>
        </w:numPr>
        <w:spacing w:line="360" w:lineRule="auto"/>
        <w:jc w:val="both"/>
      </w:pPr>
      <w:r>
        <w:t xml:space="preserve">Karakteristik Responden </w:t>
      </w:r>
    </w:p>
    <w:p w14:paraId="1CFAD151" w14:textId="52E94288" w:rsidR="00D3084B" w:rsidRDefault="00D3084B" w:rsidP="00D3084B">
      <w:pPr>
        <w:pStyle w:val="BodyText"/>
        <w:numPr>
          <w:ilvl w:val="0"/>
          <w:numId w:val="3"/>
        </w:numPr>
        <w:spacing w:line="360" w:lineRule="auto"/>
        <w:jc w:val="both"/>
      </w:pPr>
      <w:r>
        <w:t>Usia</w:t>
      </w:r>
    </w:p>
    <w:p w14:paraId="0B4B0387" w14:textId="01A5D75D" w:rsidR="00E9671E" w:rsidRDefault="00E9671E" w:rsidP="00E9671E">
      <w:pPr>
        <w:pStyle w:val="BodyText"/>
        <w:spacing w:line="360" w:lineRule="auto"/>
        <w:ind w:left="1530"/>
        <w:jc w:val="center"/>
      </w:pPr>
      <w:r>
        <w:t>Berdasarkan frekuensi dan presentase berdasarkan usia</w:t>
      </w:r>
    </w:p>
    <w:p w14:paraId="70F5227E" w14:textId="77777777" w:rsidR="00D3084B" w:rsidRDefault="00D3084B" w:rsidP="00D3084B">
      <w:pPr>
        <w:pStyle w:val="BodyText"/>
        <w:spacing w:line="360" w:lineRule="auto"/>
        <w:ind w:left="1530"/>
        <w:jc w:val="both"/>
      </w:pPr>
    </w:p>
    <w:tbl>
      <w:tblPr>
        <w:tblStyle w:val="TableGrid"/>
        <w:tblpPr w:leftFromText="180" w:rightFromText="180" w:vertAnchor="text" w:horzAnchor="margin" w:tblpXSpec="right" w:tblpY="-22"/>
        <w:tblW w:w="0" w:type="auto"/>
        <w:tblBorders>
          <w:left w:val="none" w:sz="0" w:space="0" w:color="auto"/>
          <w:right w:val="none" w:sz="0" w:space="0" w:color="auto"/>
        </w:tblBorders>
        <w:tblLook w:val="04A0" w:firstRow="1" w:lastRow="0" w:firstColumn="1" w:lastColumn="0" w:noHBand="0" w:noVBand="1"/>
      </w:tblPr>
      <w:tblGrid>
        <w:gridCol w:w="2520"/>
        <w:gridCol w:w="2644"/>
        <w:gridCol w:w="2666"/>
      </w:tblGrid>
      <w:tr w:rsidR="00E9671E" w14:paraId="6F2B98E6" w14:textId="77777777" w:rsidTr="00E9671E">
        <w:tc>
          <w:tcPr>
            <w:tcW w:w="2520" w:type="dxa"/>
            <w:tcBorders>
              <w:bottom w:val="single" w:sz="4" w:space="0" w:color="auto"/>
              <w:right w:val="nil"/>
            </w:tcBorders>
          </w:tcPr>
          <w:p w14:paraId="7061BCA1" w14:textId="77777777" w:rsidR="00E9671E" w:rsidRDefault="00E9671E" w:rsidP="002329DC">
            <w:pPr>
              <w:pStyle w:val="BodyText"/>
              <w:jc w:val="center"/>
            </w:pPr>
            <w:r>
              <w:t>Usia</w:t>
            </w:r>
          </w:p>
        </w:tc>
        <w:tc>
          <w:tcPr>
            <w:tcW w:w="2644" w:type="dxa"/>
            <w:tcBorders>
              <w:left w:val="nil"/>
              <w:bottom w:val="single" w:sz="4" w:space="0" w:color="auto"/>
              <w:right w:val="nil"/>
            </w:tcBorders>
          </w:tcPr>
          <w:p w14:paraId="708E4D4C" w14:textId="77777777" w:rsidR="00E9671E" w:rsidRDefault="00E9671E" w:rsidP="002329DC">
            <w:pPr>
              <w:pStyle w:val="BodyText"/>
              <w:jc w:val="center"/>
            </w:pPr>
            <w:r>
              <w:t>Frekuensi</w:t>
            </w:r>
          </w:p>
        </w:tc>
        <w:tc>
          <w:tcPr>
            <w:tcW w:w="2666" w:type="dxa"/>
            <w:tcBorders>
              <w:left w:val="nil"/>
              <w:bottom w:val="single" w:sz="4" w:space="0" w:color="auto"/>
            </w:tcBorders>
          </w:tcPr>
          <w:p w14:paraId="1E38413E" w14:textId="77777777" w:rsidR="00E9671E" w:rsidRDefault="00E9671E" w:rsidP="002329DC">
            <w:pPr>
              <w:pStyle w:val="BodyText"/>
              <w:jc w:val="center"/>
            </w:pPr>
            <w:r>
              <w:t>Presemtasi</w:t>
            </w:r>
          </w:p>
        </w:tc>
      </w:tr>
      <w:tr w:rsidR="00E9671E" w14:paraId="7142FF04" w14:textId="77777777" w:rsidTr="00E9671E">
        <w:tc>
          <w:tcPr>
            <w:tcW w:w="2520" w:type="dxa"/>
            <w:tcBorders>
              <w:bottom w:val="nil"/>
              <w:right w:val="nil"/>
            </w:tcBorders>
          </w:tcPr>
          <w:p w14:paraId="7695A44A" w14:textId="77777777" w:rsidR="00E9671E" w:rsidRDefault="00E9671E" w:rsidP="002329DC">
            <w:pPr>
              <w:pStyle w:val="BodyText"/>
              <w:jc w:val="center"/>
            </w:pPr>
            <w:r>
              <w:t>29-33</w:t>
            </w:r>
          </w:p>
        </w:tc>
        <w:tc>
          <w:tcPr>
            <w:tcW w:w="2644" w:type="dxa"/>
            <w:tcBorders>
              <w:left w:val="nil"/>
              <w:bottom w:val="nil"/>
              <w:right w:val="nil"/>
            </w:tcBorders>
          </w:tcPr>
          <w:p w14:paraId="65CCAB15" w14:textId="77777777" w:rsidR="00E9671E" w:rsidRDefault="00E9671E" w:rsidP="002329DC">
            <w:pPr>
              <w:pStyle w:val="BodyText"/>
              <w:jc w:val="center"/>
            </w:pPr>
            <w:r>
              <w:t>5</w:t>
            </w:r>
          </w:p>
        </w:tc>
        <w:tc>
          <w:tcPr>
            <w:tcW w:w="2666" w:type="dxa"/>
            <w:tcBorders>
              <w:left w:val="nil"/>
              <w:bottom w:val="nil"/>
              <w:right w:val="nil"/>
            </w:tcBorders>
          </w:tcPr>
          <w:p w14:paraId="77CC3CBC" w14:textId="77777777" w:rsidR="00E9671E" w:rsidRDefault="00E9671E" w:rsidP="002329DC">
            <w:pPr>
              <w:pStyle w:val="BodyText"/>
              <w:jc w:val="center"/>
            </w:pPr>
            <w:r>
              <w:t>10.4%</w:t>
            </w:r>
          </w:p>
        </w:tc>
      </w:tr>
      <w:tr w:rsidR="00E9671E" w14:paraId="0F84EA9A" w14:textId="77777777" w:rsidTr="00E9671E">
        <w:tc>
          <w:tcPr>
            <w:tcW w:w="2520" w:type="dxa"/>
            <w:tcBorders>
              <w:top w:val="nil"/>
              <w:bottom w:val="nil"/>
              <w:right w:val="nil"/>
            </w:tcBorders>
          </w:tcPr>
          <w:p w14:paraId="323E2D12" w14:textId="77777777" w:rsidR="00E9671E" w:rsidRDefault="00E9671E" w:rsidP="002329DC">
            <w:pPr>
              <w:pStyle w:val="BodyText"/>
              <w:jc w:val="center"/>
            </w:pPr>
            <w:r>
              <w:t>40-44</w:t>
            </w:r>
          </w:p>
        </w:tc>
        <w:tc>
          <w:tcPr>
            <w:tcW w:w="2644" w:type="dxa"/>
            <w:tcBorders>
              <w:top w:val="nil"/>
              <w:left w:val="nil"/>
              <w:bottom w:val="nil"/>
              <w:right w:val="nil"/>
            </w:tcBorders>
          </w:tcPr>
          <w:p w14:paraId="1653E5AE" w14:textId="77777777" w:rsidR="00E9671E" w:rsidRDefault="00E9671E" w:rsidP="002329DC">
            <w:pPr>
              <w:pStyle w:val="BodyText"/>
              <w:jc w:val="center"/>
            </w:pPr>
            <w:r>
              <w:t>8</w:t>
            </w:r>
          </w:p>
        </w:tc>
        <w:tc>
          <w:tcPr>
            <w:tcW w:w="2666" w:type="dxa"/>
            <w:tcBorders>
              <w:top w:val="nil"/>
              <w:left w:val="nil"/>
              <w:bottom w:val="nil"/>
              <w:right w:val="nil"/>
            </w:tcBorders>
          </w:tcPr>
          <w:p w14:paraId="2B9F0B65" w14:textId="77777777" w:rsidR="00E9671E" w:rsidRDefault="00E9671E" w:rsidP="002329DC">
            <w:pPr>
              <w:pStyle w:val="BodyText"/>
              <w:jc w:val="center"/>
            </w:pPr>
            <w:r>
              <w:t>16.7%</w:t>
            </w:r>
          </w:p>
        </w:tc>
      </w:tr>
      <w:tr w:rsidR="00E9671E" w14:paraId="681E1F34" w14:textId="77777777" w:rsidTr="00E9671E">
        <w:tc>
          <w:tcPr>
            <w:tcW w:w="2520" w:type="dxa"/>
            <w:tcBorders>
              <w:top w:val="nil"/>
              <w:bottom w:val="nil"/>
              <w:right w:val="nil"/>
            </w:tcBorders>
          </w:tcPr>
          <w:p w14:paraId="7928BF4D" w14:textId="77777777" w:rsidR="00E9671E" w:rsidRDefault="00E9671E" w:rsidP="002329DC">
            <w:pPr>
              <w:pStyle w:val="BodyText"/>
              <w:jc w:val="center"/>
            </w:pPr>
            <w:r>
              <w:t>49-55</w:t>
            </w:r>
          </w:p>
        </w:tc>
        <w:tc>
          <w:tcPr>
            <w:tcW w:w="2644" w:type="dxa"/>
            <w:tcBorders>
              <w:top w:val="nil"/>
              <w:left w:val="nil"/>
              <w:bottom w:val="nil"/>
              <w:right w:val="nil"/>
            </w:tcBorders>
          </w:tcPr>
          <w:p w14:paraId="2B3FF75E" w14:textId="77777777" w:rsidR="00E9671E" w:rsidRDefault="00E9671E" w:rsidP="002329DC">
            <w:pPr>
              <w:pStyle w:val="BodyText"/>
              <w:jc w:val="center"/>
            </w:pPr>
            <w:r>
              <w:t>14</w:t>
            </w:r>
          </w:p>
        </w:tc>
        <w:tc>
          <w:tcPr>
            <w:tcW w:w="2666" w:type="dxa"/>
            <w:tcBorders>
              <w:top w:val="nil"/>
              <w:left w:val="nil"/>
              <w:bottom w:val="nil"/>
              <w:right w:val="nil"/>
            </w:tcBorders>
          </w:tcPr>
          <w:p w14:paraId="50019781" w14:textId="77777777" w:rsidR="00E9671E" w:rsidRDefault="00E9671E" w:rsidP="002329DC">
            <w:pPr>
              <w:pStyle w:val="BodyText"/>
              <w:jc w:val="center"/>
            </w:pPr>
            <w:r>
              <w:t>29.2%</w:t>
            </w:r>
          </w:p>
        </w:tc>
      </w:tr>
      <w:tr w:rsidR="00E9671E" w14:paraId="1593198E" w14:textId="77777777" w:rsidTr="00E9671E">
        <w:tc>
          <w:tcPr>
            <w:tcW w:w="2520" w:type="dxa"/>
            <w:tcBorders>
              <w:top w:val="nil"/>
              <w:bottom w:val="nil"/>
              <w:right w:val="nil"/>
            </w:tcBorders>
          </w:tcPr>
          <w:p w14:paraId="66A00AF2" w14:textId="77777777" w:rsidR="00E9671E" w:rsidRDefault="00E9671E" w:rsidP="002329DC">
            <w:pPr>
              <w:pStyle w:val="BodyText"/>
              <w:jc w:val="center"/>
            </w:pPr>
            <w:r>
              <w:t>56-65</w:t>
            </w:r>
          </w:p>
        </w:tc>
        <w:tc>
          <w:tcPr>
            <w:tcW w:w="2644" w:type="dxa"/>
            <w:tcBorders>
              <w:top w:val="nil"/>
              <w:left w:val="nil"/>
              <w:bottom w:val="nil"/>
              <w:right w:val="nil"/>
            </w:tcBorders>
          </w:tcPr>
          <w:p w14:paraId="24D0C5D3" w14:textId="77777777" w:rsidR="00E9671E" w:rsidRDefault="00E9671E" w:rsidP="002329DC">
            <w:pPr>
              <w:pStyle w:val="BodyText"/>
              <w:jc w:val="center"/>
            </w:pPr>
            <w:r>
              <w:t>9</w:t>
            </w:r>
          </w:p>
        </w:tc>
        <w:tc>
          <w:tcPr>
            <w:tcW w:w="2666" w:type="dxa"/>
            <w:tcBorders>
              <w:top w:val="nil"/>
              <w:left w:val="nil"/>
              <w:bottom w:val="nil"/>
              <w:right w:val="nil"/>
            </w:tcBorders>
          </w:tcPr>
          <w:p w14:paraId="7841F64E" w14:textId="77777777" w:rsidR="00E9671E" w:rsidRDefault="00E9671E" w:rsidP="002329DC">
            <w:pPr>
              <w:pStyle w:val="BodyText"/>
              <w:jc w:val="center"/>
            </w:pPr>
            <w:r>
              <w:t>18.8%</w:t>
            </w:r>
          </w:p>
        </w:tc>
      </w:tr>
      <w:tr w:rsidR="00E9671E" w14:paraId="4370FF03" w14:textId="77777777" w:rsidTr="00E9671E">
        <w:tc>
          <w:tcPr>
            <w:tcW w:w="2520" w:type="dxa"/>
            <w:tcBorders>
              <w:top w:val="nil"/>
              <w:right w:val="nil"/>
            </w:tcBorders>
          </w:tcPr>
          <w:p w14:paraId="474822F2" w14:textId="77777777" w:rsidR="00E9671E" w:rsidRDefault="00E9671E" w:rsidP="002329DC">
            <w:pPr>
              <w:pStyle w:val="BodyText"/>
              <w:jc w:val="center"/>
            </w:pPr>
            <w:r>
              <w:t>67-73</w:t>
            </w:r>
          </w:p>
        </w:tc>
        <w:tc>
          <w:tcPr>
            <w:tcW w:w="2644" w:type="dxa"/>
            <w:tcBorders>
              <w:top w:val="nil"/>
              <w:left w:val="nil"/>
              <w:bottom w:val="single" w:sz="4" w:space="0" w:color="auto"/>
              <w:right w:val="nil"/>
            </w:tcBorders>
          </w:tcPr>
          <w:p w14:paraId="357166E5" w14:textId="77777777" w:rsidR="00E9671E" w:rsidRDefault="00E9671E" w:rsidP="002329DC">
            <w:pPr>
              <w:pStyle w:val="BodyText"/>
              <w:jc w:val="center"/>
            </w:pPr>
            <w:r>
              <w:t>12</w:t>
            </w:r>
          </w:p>
        </w:tc>
        <w:tc>
          <w:tcPr>
            <w:tcW w:w="2666" w:type="dxa"/>
            <w:tcBorders>
              <w:top w:val="nil"/>
              <w:left w:val="nil"/>
              <w:right w:val="nil"/>
            </w:tcBorders>
          </w:tcPr>
          <w:p w14:paraId="5A8535E2" w14:textId="77777777" w:rsidR="00E9671E" w:rsidRDefault="00E9671E" w:rsidP="002329DC">
            <w:pPr>
              <w:pStyle w:val="BodyText"/>
              <w:jc w:val="center"/>
            </w:pPr>
            <w:r>
              <w:t>25.0%</w:t>
            </w:r>
          </w:p>
        </w:tc>
      </w:tr>
      <w:tr w:rsidR="00E9671E" w14:paraId="6B3CA757" w14:textId="77777777" w:rsidTr="00E9671E">
        <w:tc>
          <w:tcPr>
            <w:tcW w:w="2520" w:type="dxa"/>
            <w:tcBorders>
              <w:right w:val="nil"/>
            </w:tcBorders>
          </w:tcPr>
          <w:p w14:paraId="60F3DCBF" w14:textId="77777777" w:rsidR="00E9671E" w:rsidRDefault="00E9671E" w:rsidP="002329DC">
            <w:pPr>
              <w:pStyle w:val="BodyText"/>
              <w:jc w:val="center"/>
            </w:pPr>
          </w:p>
        </w:tc>
        <w:tc>
          <w:tcPr>
            <w:tcW w:w="2644" w:type="dxa"/>
            <w:tcBorders>
              <w:left w:val="nil"/>
              <w:right w:val="nil"/>
            </w:tcBorders>
          </w:tcPr>
          <w:p w14:paraId="0668703E" w14:textId="77777777" w:rsidR="00E9671E" w:rsidRPr="00DE52A1" w:rsidRDefault="00E9671E" w:rsidP="002329DC">
            <w:pPr>
              <w:pStyle w:val="BodyText"/>
              <w:jc w:val="center"/>
              <w:rPr>
                <w:b/>
                <w:bCs/>
              </w:rPr>
            </w:pPr>
            <w:r>
              <w:rPr>
                <w:b/>
                <w:bCs/>
              </w:rPr>
              <w:t>48</w:t>
            </w:r>
          </w:p>
        </w:tc>
        <w:tc>
          <w:tcPr>
            <w:tcW w:w="2666" w:type="dxa"/>
            <w:tcBorders>
              <w:left w:val="nil"/>
            </w:tcBorders>
          </w:tcPr>
          <w:p w14:paraId="6FA6C0BB" w14:textId="77777777" w:rsidR="00E9671E" w:rsidRPr="00DE52A1" w:rsidRDefault="00E9671E" w:rsidP="002329DC">
            <w:pPr>
              <w:pStyle w:val="BodyText"/>
              <w:jc w:val="center"/>
              <w:rPr>
                <w:b/>
                <w:bCs/>
              </w:rPr>
            </w:pPr>
            <w:r>
              <w:rPr>
                <w:b/>
                <w:bCs/>
              </w:rPr>
              <w:t>100.0%</w:t>
            </w:r>
          </w:p>
        </w:tc>
      </w:tr>
    </w:tbl>
    <w:p w14:paraId="18092DCD" w14:textId="77777777" w:rsidR="00B62D91" w:rsidRDefault="00E9671E" w:rsidP="007C270E">
      <w:pPr>
        <w:pStyle w:val="BodyText"/>
        <w:spacing w:line="360" w:lineRule="auto"/>
        <w:ind w:left="1530"/>
        <w:jc w:val="both"/>
        <w:rPr>
          <w:lang w:val="en-US"/>
        </w:rPr>
      </w:pPr>
      <w:proofErr w:type="spellStart"/>
      <w:r w:rsidRPr="00E9671E">
        <w:rPr>
          <w:lang w:val="en-US"/>
        </w:rPr>
        <w:t>Berdasarkan</w:t>
      </w:r>
      <w:proofErr w:type="spellEnd"/>
      <w:r w:rsidRPr="00E9671E">
        <w:rPr>
          <w:lang w:val="en-US"/>
        </w:rPr>
        <w:t xml:space="preserve"> table 4.1 </w:t>
      </w:r>
      <w:proofErr w:type="spellStart"/>
      <w:r w:rsidR="00B62D91" w:rsidRPr="00B62D91">
        <w:rPr>
          <w:lang w:val="en-US"/>
        </w:rPr>
        <w:t>Mayoritas</w:t>
      </w:r>
      <w:proofErr w:type="spellEnd"/>
      <w:r w:rsidR="00B62D91" w:rsidRPr="00B62D91">
        <w:rPr>
          <w:lang w:val="en-US"/>
        </w:rPr>
        <w:t xml:space="preserve"> </w:t>
      </w:r>
      <w:proofErr w:type="spellStart"/>
      <w:r w:rsidR="00B62D91" w:rsidRPr="00B62D91">
        <w:rPr>
          <w:lang w:val="en-US"/>
        </w:rPr>
        <w:t>responden</w:t>
      </w:r>
      <w:proofErr w:type="spellEnd"/>
      <w:r w:rsidR="00B62D91" w:rsidRPr="00B62D91">
        <w:rPr>
          <w:lang w:val="en-US"/>
        </w:rPr>
        <w:t xml:space="preserve"> </w:t>
      </w:r>
      <w:proofErr w:type="spellStart"/>
      <w:r w:rsidR="00B62D91" w:rsidRPr="00B62D91">
        <w:rPr>
          <w:lang w:val="en-US"/>
        </w:rPr>
        <w:t>berusia</w:t>
      </w:r>
      <w:proofErr w:type="spellEnd"/>
      <w:r w:rsidR="00B62D91" w:rsidRPr="00B62D91">
        <w:rPr>
          <w:lang w:val="en-US"/>
        </w:rPr>
        <w:t xml:space="preserve"> 49–55 </w:t>
      </w:r>
      <w:proofErr w:type="spellStart"/>
      <w:r w:rsidR="00B62D91" w:rsidRPr="00B62D91">
        <w:rPr>
          <w:lang w:val="en-US"/>
        </w:rPr>
        <w:t>tahun</w:t>
      </w:r>
      <w:proofErr w:type="spellEnd"/>
      <w:r w:rsidR="00B62D91" w:rsidRPr="00B62D91">
        <w:rPr>
          <w:lang w:val="en-US"/>
        </w:rPr>
        <w:t xml:space="preserve"> (29,2%), </w:t>
      </w:r>
      <w:proofErr w:type="spellStart"/>
      <w:r w:rsidR="00B62D91" w:rsidRPr="00B62D91">
        <w:rPr>
          <w:lang w:val="en-US"/>
        </w:rPr>
        <w:t>diikuti</w:t>
      </w:r>
      <w:proofErr w:type="spellEnd"/>
      <w:r w:rsidR="00B62D91" w:rsidRPr="00B62D91">
        <w:rPr>
          <w:lang w:val="en-US"/>
        </w:rPr>
        <w:t xml:space="preserve"> 67–73 </w:t>
      </w:r>
      <w:proofErr w:type="spellStart"/>
      <w:r w:rsidR="00B62D91" w:rsidRPr="00B62D91">
        <w:rPr>
          <w:lang w:val="en-US"/>
        </w:rPr>
        <w:t>tahun</w:t>
      </w:r>
      <w:proofErr w:type="spellEnd"/>
      <w:r w:rsidR="00B62D91" w:rsidRPr="00B62D91">
        <w:rPr>
          <w:lang w:val="en-US"/>
        </w:rPr>
        <w:t xml:space="preserve"> (25%), 56–65 </w:t>
      </w:r>
      <w:proofErr w:type="spellStart"/>
      <w:r w:rsidR="00B62D91" w:rsidRPr="00B62D91">
        <w:rPr>
          <w:lang w:val="en-US"/>
        </w:rPr>
        <w:t>tahun</w:t>
      </w:r>
      <w:proofErr w:type="spellEnd"/>
      <w:r w:rsidR="00B62D91" w:rsidRPr="00B62D91">
        <w:rPr>
          <w:lang w:val="en-US"/>
        </w:rPr>
        <w:t xml:space="preserve"> (18,8%), 40–44 </w:t>
      </w:r>
      <w:proofErr w:type="spellStart"/>
      <w:r w:rsidR="00B62D91" w:rsidRPr="00B62D91">
        <w:rPr>
          <w:lang w:val="en-US"/>
        </w:rPr>
        <w:t>tahun</w:t>
      </w:r>
      <w:proofErr w:type="spellEnd"/>
      <w:r w:rsidR="00B62D91" w:rsidRPr="00B62D91">
        <w:rPr>
          <w:lang w:val="en-US"/>
        </w:rPr>
        <w:t xml:space="preserve"> (16,7%), dan 29–33 </w:t>
      </w:r>
      <w:proofErr w:type="spellStart"/>
      <w:r w:rsidR="00B62D91" w:rsidRPr="00B62D91">
        <w:rPr>
          <w:lang w:val="en-US"/>
        </w:rPr>
        <w:t>tahun</w:t>
      </w:r>
      <w:proofErr w:type="spellEnd"/>
      <w:r w:rsidR="00B62D91" w:rsidRPr="00B62D91">
        <w:rPr>
          <w:lang w:val="en-US"/>
        </w:rPr>
        <w:t xml:space="preserve"> (10,4%). </w:t>
      </w:r>
      <w:proofErr w:type="spellStart"/>
      <w:r w:rsidR="00B62D91" w:rsidRPr="00B62D91">
        <w:rPr>
          <w:lang w:val="en-US"/>
        </w:rPr>
        <w:t>Berdasarkan</w:t>
      </w:r>
      <w:proofErr w:type="spellEnd"/>
      <w:r w:rsidR="00B62D91" w:rsidRPr="00B62D91">
        <w:rPr>
          <w:lang w:val="en-US"/>
        </w:rPr>
        <w:t xml:space="preserve"> </w:t>
      </w:r>
      <w:proofErr w:type="spellStart"/>
      <w:r w:rsidR="00B62D91" w:rsidRPr="00B62D91">
        <w:rPr>
          <w:lang w:val="en-US"/>
        </w:rPr>
        <w:t>klasifikasi</w:t>
      </w:r>
      <w:proofErr w:type="spellEnd"/>
      <w:r w:rsidR="00B62D91" w:rsidRPr="00B62D91">
        <w:rPr>
          <w:lang w:val="en-US"/>
        </w:rPr>
        <w:t xml:space="preserve"> WHO (2018), </w:t>
      </w:r>
      <w:proofErr w:type="spellStart"/>
      <w:r w:rsidR="00B62D91" w:rsidRPr="00B62D91">
        <w:rPr>
          <w:lang w:val="en-US"/>
        </w:rPr>
        <w:t>rentang</w:t>
      </w:r>
      <w:proofErr w:type="spellEnd"/>
      <w:r w:rsidR="00B62D91" w:rsidRPr="00B62D91">
        <w:rPr>
          <w:lang w:val="en-US"/>
        </w:rPr>
        <w:t xml:space="preserve"> </w:t>
      </w:r>
      <w:proofErr w:type="spellStart"/>
      <w:r w:rsidR="00B62D91" w:rsidRPr="00B62D91">
        <w:rPr>
          <w:lang w:val="en-US"/>
        </w:rPr>
        <w:t>usia</w:t>
      </w:r>
      <w:proofErr w:type="spellEnd"/>
      <w:r w:rsidR="00B62D91" w:rsidRPr="00B62D91">
        <w:rPr>
          <w:lang w:val="en-US"/>
        </w:rPr>
        <w:t xml:space="preserve"> 45–59 </w:t>
      </w:r>
      <w:proofErr w:type="spellStart"/>
      <w:r w:rsidR="00B62D91" w:rsidRPr="00B62D91">
        <w:rPr>
          <w:lang w:val="en-US"/>
        </w:rPr>
        <w:t>termasuk</w:t>
      </w:r>
      <w:proofErr w:type="spellEnd"/>
      <w:r w:rsidR="00B62D91" w:rsidRPr="00B62D91">
        <w:rPr>
          <w:lang w:val="en-US"/>
        </w:rPr>
        <w:t xml:space="preserve"> </w:t>
      </w:r>
      <w:proofErr w:type="spellStart"/>
      <w:r w:rsidR="00B62D91" w:rsidRPr="00B62D91">
        <w:rPr>
          <w:lang w:val="en-US"/>
        </w:rPr>
        <w:t>kategori</w:t>
      </w:r>
      <w:proofErr w:type="spellEnd"/>
      <w:r w:rsidR="00B62D91" w:rsidRPr="00B62D91">
        <w:rPr>
          <w:lang w:val="en-US"/>
        </w:rPr>
        <w:t xml:space="preserve"> </w:t>
      </w:r>
      <w:proofErr w:type="spellStart"/>
      <w:r w:rsidR="00B62D91" w:rsidRPr="00B62D91">
        <w:rPr>
          <w:lang w:val="en-US"/>
        </w:rPr>
        <w:t>dewasa</w:t>
      </w:r>
      <w:proofErr w:type="spellEnd"/>
      <w:r w:rsidR="00B62D91" w:rsidRPr="00B62D91">
        <w:rPr>
          <w:lang w:val="en-US"/>
        </w:rPr>
        <w:t xml:space="preserve"> </w:t>
      </w:r>
      <w:proofErr w:type="spellStart"/>
      <w:r w:rsidR="00B62D91" w:rsidRPr="00B62D91">
        <w:rPr>
          <w:lang w:val="en-US"/>
        </w:rPr>
        <w:t>madya</w:t>
      </w:r>
      <w:proofErr w:type="spellEnd"/>
      <w:r w:rsidR="00B62D91" w:rsidRPr="00B62D91">
        <w:rPr>
          <w:lang w:val="en-US"/>
        </w:rPr>
        <w:t xml:space="preserve">, </w:t>
      </w:r>
      <w:proofErr w:type="spellStart"/>
      <w:r w:rsidR="00B62D91" w:rsidRPr="00B62D91">
        <w:rPr>
          <w:lang w:val="en-US"/>
        </w:rPr>
        <w:t>sedangkan</w:t>
      </w:r>
      <w:proofErr w:type="spellEnd"/>
      <w:r w:rsidR="00B62D91" w:rsidRPr="00B62D91">
        <w:rPr>
          <w:lang w:val="en-US"/>
        </w:rPr>
        <w:t xml:space="preserve"> ≥60 </w:t>
      </w:r>
      <w:proofErr w:type="spellStart"/>
      <w:r w:rsidR="00B62D91" w:rsidRPr="00B62D91">
        <w:rPr>
          <w:lang w:val="en-US"/>
        </w:rPr>
        <w:t>tahun</w:t>
      </w:r>
      <w:proofErr w:type="spellEnd"/>
      <w:r w:rsidR="00B62D91" w:rsidRPr="00B62D91">
        <w:rPr>
          <w:lang w:val="en-US"/>
        </w:rPr>
        <w:t xml:space="preserve"> </w:t>
      </w:r>
      <w:proofErr w:type="spellStart"/>
      <w:r w:rsidR="00B62D91" w:rsidRPr="00B62D91">
        <w:rPr>
          <w:lang w:val="en-US"/>
        </w:rPr>
        <w:t>tergolong</w:t>
      </w:r>
      <w:proofErr w:type="spellEnd"/>
      <w:r w:rsidR="00B62D91" w:rsidRPr="00B62D91">
        <w:rPr>
          <w:lang w:val="en-US"/>
        </w:rPr>
        <w:t xml:space="preserve"> </w:t>
      </w:r>
      <w:proofErr w:type="spellStart"/>
      <w:r w:rsidR="00B62D91" w:rsidRPr="00B62D91">
        <w:rPr>
          <w:lang w:val="en-US"/>
        </w:rPr>
        <w:t>lansia</w:t>
      </w:r>
      <w:proofErr w:type="spellEnd"/>
      <w:r w:rsidR="00B62D91" w:rsidRPr="00B62D91">
        <w:rPr>
          <w:lang w:val="en-US"/>
        </w:rPr>
        <w:t xml:space="preserve">. </w:t>
      </w:r>
      <w:proofErr w:type="spellStart"/>
      <w:r w:rsidR="00B62D91" w:rsidRPr="00B62D91">
        <w:rPr>
          <w:lang w:val="en-US"/>
        </w:rPr>
        <w:t>Distribusi</w:t>
      </w:r>
      <w:proofErr w:type="spellEnd"/>
      <w:r w:rsidR="00B62D91" w:rsidRPr="00B62D91">
        <w:rPr>
          <w:lang w:val="en-US"/>
        </w:rPr>
        <w:t xml:space="preserve"> </w:t>
      </w:r>
      <w:proofErr w:type="spellStart"/>
      <w:r w:rsidR="00B62D91" w:rsidRPr="00B62D91">
        <w:rPr>
          <w:lang w:val="en-US"/>
        </w:rPr>
        <w:t>ini</w:t>
      </w:r>
      <w:proofErr w:type="spellEnd"/>
      <w:r w:rsidR="00B62D91" w:rsidRPr="00B62D91">
        <w:rPr>
          <w:lang w:val="en-US"/>
        </w:rPr>
        <w:t xml:space="preserve"> </w:t>
      </w:r>
      <w:proofErr w:type="spellStart"/>
      <w:r w:rsidR="00B62D91" w:rsidRPr="00B62D91">
        <w:rPr>
          <w:lang w:val="en-US"/>
        </w:rPr>
        <w:t>menunjukkan</w:t>
      </w:r>
      <w:proofErr w:type="spellEnd"/>
      <w:r w:rsidR="00B62D91" w:rsidRPr="00B62D91">
        <w:rPr>
          <w:lang w:val="en-US"/>
        </w:rPr>
        <w:t xml:space="preserve"> </w:t>
      </w:r>
      <w:proofErr w:type="spellStart"/>
      <w:r w:rsidR="00B62D91" w:rsidRPr="00B62D91">
        <w:rPr>
          <w:lang w:val="en-US"/>
        </w:rPr>
        <w:t>sebagian</w:t>
      </w:r>
      <w:proofErr w:type="spellEnd"/>
      <w:r w:rsidR="00B62D91" w:rsidRPr="00B62D91">
        <w:rPr>
          <w:lang w:val="en-US"/>
        </w:rPr>
        <w:t xml:space="preserve"> </w:t>
      </w:r>
      <w:proofErr w:type="spellStart"/>
      <w:r w:rsidR="00B62D91" w:rsidRPr="00B62D91">
        <w:rPr>
          <w:lang w:val="en-US"/>
        </w:rPr>
        <w:t>besar</w:t>
      </w:r>
      <w:proofErr w:type="spellEnd"/>
      <w:r w:rsidR="00B62D91" w:rsidRPr="00B62D91">
        <w:rPr>
          <w:lang w:val="en-US"/>
        </w:rPr>
        <w:t xml:space="preserve"> </w:t>
      </w:r>
      <w:proofErr w:type="spellStart"/>
      <w:r w:rsidR="00B62D91" w:rsidRPr="00B62D91">
        <w:rPr>
          <w:lang w:val="en-US"/>
        </w:rPr>
        <w:t>responden</w:t>
      </w:r>
      <w:proofErr w:type="spellEnd"/>
      <w:r w:rsidR="00B62D91" w:rsidRPr="00B62D91">
        <w:rPr>
          <w:lang w:val="en-US"/>
        </w:rPr>
        <w:t xml:space="preserve"> </w:t>
      </w:r>
      <w:proofErr w:type="spellStart"/>
      <w:r w:rsidR="00B62D91" w:rsidRPr="00B62D91">
        <w:rPr>
          <w:lang w:val="en-US"/>
        </w:rPr>
        <w:t>adalah</w:t>
      </w:r>
      <w:proofErr w:type="spellEnd"/>
      <w:r w:rsidR="00B62D91" w:rsidRPr="00B62D91">
        <w:rPr>
          <w:lang w:val="en-US"/>
        </w:rPr>
        <w:t xml:space="preserve"> </w:t>
      </w:r>
      <w:proofErr w:type="spellStart"/>
      <w:r w:rsidR="00B62D91" w:rsidRPr="00B62D91">
        <w:rPr>
          <w:lang w:val="en-US"/>
        </w:rPr>
        <w:t>dewasa</w:t>
      </w:r>
      <w:proofErr w:type="spellEnd"/>
      <w:r w:rsidR="00B62D91" w:rsidRPr="00B62D91">
        <w:rPr>
          <w:lang w:val="en-US"/>
        </w:rPr>
        <w:t xml:space="preserve"> </w:t>
      </w:r>
      <w:proofErr w:type="spellStart"/>
      <w:r w:rsidR="00B62D91" w:rsidRPr="00B62D91">
        <w:rPr>
          <w:lang w:val="en-US"/>
        </w:rPr>
        <w:t>madya</w:t>
      </w:r>
      <w:proofErr w:type="spellEnd"/>
      <w:r w:rsidR="00B62D91" w:rsidRPr="00B62D91">
        <w:rPr>
          <w:lang w:val="en-US"/>
        </w:rPr>
        <w:t xml:space="preserve"> </w:t>
      </w:r>
      <w:proofErr w:type="spellStart"/>
      <w:r w:rsidR="00B62D91" w:rsidRPr="00B62D91">
        <w:rPr>
          <w:lang w:val="en-US"/>
        </w:rPr>
        <w:t>hingga</w:t>
      </w:r>
      <w:proofErr w:type="spellEnd"/>
      <w:r w:rsidR="00B62D91" w:rsidRPr="00B62D91">
        <w:rPr>
          <w:lang w:val="en-US"/>
        </w:rPr>
        <w:t xml:space="preserve"> </w:t>
      </w:r>
      <w:proofErr w:type="spellStart"/>
      <w:r w:rsidR="00B62D91" w:rsidRPr="00B62D91">
        <w:rPr>
          <w:lang w:val="en-US"/>
        </w:rPr>
        <w:t>lanjut</w:t>
      </w:r>
      <w:proofErr w:type="spellEnd"/>
      <w:r w:rsidR="00B62D91" w:rsidRPr="00B62D91">
        <w:rPr>
          <w:lang w:val="en-US"/>
        </w:rPr>
        <w:t xml:space="preserve"> </w:t>
      </w:r>
      <w:proofErr w:type="spellStart"/>
      <w:r w:rsidR="00B62D91" w:rsidRPr="00B62D91">
        <w:rPr>
          <w:lang w:val="en-US"/>
        </w:rPr>
        <w:t>usia</w:t>
      </w:r>
      <w:proofErr w:type="spellEnd"/>
      <w:r w:rsidR="00B62D91" w:rsidRPr="00B62D91">
        <w:rPr>
          <w:lang w:val="en-US"/>
        </w:rPr>
        <w:t xml:space="preserve">, </w:t>
      </w:r>
      <w:proofErr w:type="spellStart"/>
      <w:r w:rsidR="00B62D91" w:rsidRPr="00B62D91">
        <w:rPr>
          <w:lang w:val="en-US"/>
        </w:rPr>
        <w:t>kelompok</w:t>
      </w:r>
      <w:proofErr w:type="spellEnd"/>
      <w:r w:rsidR="00B62D91" w:rsidRPr="00B62D91">
        <w:rPr>
          <w:lang w:val="en-US"/>
        </w:rPr>
        <w:t xml:space="preserve"> yang </w:t>
      </w:r>
      <w:proofErr w:type="spellStart"/>
      <w:r w:rsidR="00B62D91" w:rsidRPr="00B62D91">
        <w:rPr>
          <w:lang w:val="en-US"/>
        </w:rPr>
        <w:t>berisiko</w:t>
      </w:r>
      <w:proofErr w:type="spellEnd"/>
      <w:r w:rsidR="00B62D91" w:rsidRPr="00B62D91">
        <w:rPr>
          <w:lang w:val="en-US"/>
        </w:rPr>
        <w:t xml:space="preserve"> </w:t>
      </w:r>
      <w:proofErr w:type="spellStart"/>
      <w:r w:rsidR="00B62D91" w:rsidRPr="00B62D91">
        <w:rPr>
          <w:lang w:val="en-US"/>
        </w:rPr>
        <w:t>tinggi</w:t>
      </w:r>
      <w:proofErr w:type="spellEnd"/>
      <w:r w:rsidR="00B62D91" w:rsidRPr="00B62D91">
        <w:rPr>
          <w:lang w:val="en-US"/>
        </w:rPr>
        <w:t xml:space="preserve"> </w:t>
      </w:r>
      <w:proofErr w:type="spellStart"/>
      <w:r w:rsidR="00B62D91" w:rsidRPr="00B62D91">
        <w:rPr>
          <w:lang w:val="en-US"/>
        </w:rPr>
        <w:t>terhadap</w:t>
      </w:r>
      <w:proofErr w:type="spellEnd"/>
      <w:r w:rsidR="00B62D91" w:rsidRPr="00B62D91">
        <w:rPr>
          <w:lang w:val="en-US"/>
        </w:rPr>
        <w:t xml:space="preserve"> </w:t>
      </w:r>
      <w:proofErr w:type="spellStart"/>
      <w:r w:rsidR="00B62D91" w:rsidRPr="00B62D91">
        <w:rPr>
          <w:lang w:val="en-US"/>
        </w:rPr>
        <w:t>penyakit</w:t>
      </w:r>
      <w:proofErr w:type="spellEnd"/>
      <w:r w:rsidR="00B62D91" w:rsidRPr="00B62D91">
        <w:rPr>
          <w:lang w:val="en-US"/>
        </w:rPr>
        <w:t xml:space="preserve"> </w:t>
      </w:r>
      <w:proofErr w:type="spellStart"/>
      <w:r w:rsidR="00B62D91" w:rsidRPr="00B62D91">
        <w:rPr>
          <w:lang w:val="en-US"/>
        </w:rPr>
        <w:t>kronis</w:t>
      </w:r>
      <w:proofErr w:type="spellEnd"/>
      <w:r w:rsidR="00B62D91" w:rsidRPr="00B62D91">
        <w:rPr>
          <w:lang w:val="en-US"/>
        </w:rPr>
        <w:t xml:space="preserve"> </w:t>
      </w:r>
      <w:proofErr w:type="spellStart"/>
      <w:r w:rsidR="00B62D91" w:rsidRPr="00B62D91">
        <w:rPr>
          <w:lang w:val="en-US"/>
        </w:rPr>
        <w:t>serta</w:t>
      </w:r>
      <w:proofErr w:type="spellEnd"/>
      <w:r w:rsidR="00B62D91" w:rsidRPr="00B62D91">
        <w:rPr>
          <w:lang w:val="en-US"/>
        </w:rPr>
        <w:t xml:space="preserve"> </w:t>
      </w:r>
      <w:proofErr w:type="spellStart"/>
      <w:r w:rsidR="00B62D91" w:rsidRPr="00B62D91">
        <w:rPr>
          <w:lang w:val="en-US"/>
        </w:rPr>
        <w:t>memerlukan</w:t>
      </w:r>
      <w:proofErr w:type="spellEnd"/>
      <w:r w:rsidR="00B62D91" w:rsidRPr="00B62D91">
        <w:rPr>
          <w:lang w:val="en-US"/>
        </w:rPr>
        <w:t xml:space="preserve"> </w:t>
      </w:r>
      <w:proofErr w:type="spellStart"/>
      <w:r w:rsidR="00B62D91" w:rsidRPr="00B62D91">
        <w:rPr>
          <w:lang w:val="en-US"/>
        </w:rPr>
        <w:t>pemantauan</w:t>
      </w:r>
      <w:proofErr w:type="spellEnd"/>
      <w:r w:rsidR="00B62D91" w:rsidRPr="00B62D91">
        <w:rPr>
          <w:lang w:val="en-US"/>
        </w:rPr>
        <w:t xml:space="preserve"> </w:t>
      </w:r>
      <w:proofErr w:type="spellStart"/>
      <w:r w:rsidR="00B62D91" w:rsidRPr="00B62D91">
        <w:rPr>
          <w:lang w:val="en-US"/>
        </w:rPr>
        <w:t>kesehatan</w:t>
      </w:r>
      <w:proofErr w:type="spellEnd"/>
      <w:r w:rsidR="00B62D91" w:rsidRPr="00B62D91">
        <w:rPr>
          <w:lang w:val="en-US"/>
        </w:rPr>
        <w:t xml:space="preserve"> </w:t>
      </w:r>
      <w:proofErr w:type="spellStart"/>
      <w:r w:rsidR="00B62D91" w:rsidRPr="00B62D91">
        <w:rPr>
          <w:lang w:val="en-US"/>
        </w:rPr>
        <w:t>lebih</w:t>
      </w:r>
      <w:proofErr w:type="spellEnd"/>
      <w:r w:rsidR="00B62D91" w:rsidRPr="00B62D91">
        <w:rPr>
          <w:lang w:val="en-US"/>
        </w:rPr>
        <w:t xml:space="preserve"> </w:t>
      </w:r>
      <w:proofErr w:type="spellStart"/>
      <w:r w:rsidR="00B62D91" w:rsidRPr="00B62D91">
        <w:rPr>
          <w:lang w:val="en-US"/>
        </w:rPr>
        <w:t>intensif</w:t>
      </w:r>
      <w:proofErr w:type="spellEnd"/>
    </w:p>
    <w:p w14:paraId="1C562EEE" w14:textId="0ECDFAFC" w:rsidR="00254319" w:rsidRDefault="00254319" w:rsidP="00B62D91">
      <w:pPr>
        <w:pStyle w:val="BodyText"/>
        <w:numPr>
          <w:ilvl w:val="0"/>
          <w:numId w:val="3"/>
        </w:numPr>
        <w:spacing w:line="360" w:lineRule="auto"/>
        <w:jc w:val="both"/>
      </w:pPr>
      <w:r>
        <w:t>Jenis kelami</w:t>
      </w:r>
      <w:r w:rsidR="00E9671E">
        <w:t>n</w:t>
      </w:r>
    </w:p>
    <w:p w14:paraId="70A4ECC3" w14:textId="76306D23" w:rsidR="00254319" w:rsidRDefault="00762AF1" w:rsidP="00762AF1">
      <w:pPr>
        <w:pStyle w:val="BodyText"/>
        <w:spacing w:line="360" w:lineRule="auto"/>
        <w:ind w:left="1530"/>
        <w:jc w:val="center"/>
      </w:pPr>
      <w:r>
        <w:t>Distribusi frekuensi dan presentase berdasarkan jenis kelamin</w:t>
      </w:r>
    </w:p>
    <w:tbl>
      <w:tblPr>
        <w:tblStyle w:val="TableGrid"/>
        <w:tblW w:w="0" w:type="auto"/>
        <w:tblInd w:w="1530" w:type="dxa"/>
        <w:tblBorders>
          <w:right w:val="none" w:sz="0" w:space="0" w:color="auto"/>
        </w:tblBorders>
        <w:tblLook w:val="04A0" w:firstRow="1" w:lastRow="0" w:firstColumn="1" w:lastColumn="0" w:noHBand="0" w:noVBand="1"/>
      </w:tblPr>
      <w:tblGrid>
        <w:gridCol w:w="2441"/>
        <w:gridCol w:w="2534"/>
        <w:gridCol w:w="2522"/>
      </w:tblGrid>
      <w:tr w:rsidR="00762AF1" w14:paraId="76A39341" w14:textId="77777777" w:rsidTr="00762AF1">
        <w:tc>
          <w:tcPr>
            <w:tcW w:w="2562" w:type="dxa"/>
            <w:tcBorders>
              <w:left w:val="nil"/>
              <w:bottom w:val="single" w:sz="4" w:space="0" w:color="auto"/>
              <w:right w:val="nil"/>
            </w:tcBorders>
          </w:tcPr>
          <w:p w14:paraId="3F047D6D" w14:textId="77777777" w:rsidR="00762AF1" w:rsidRDefault="00762AF1" w:rsidP="002329DC">
            <w:pPr>
              <w:pStyle w:val="BodyText"/>
              <w:jc w:val="center"/>
            </w:pPr>
          </w:p>
        </w:tc>
        <w:tc>
          <w:tcPr>
            <w:tcW w:w="2639" w:type="dxa"/>
            <w:tcBorders>
              <w:left w:val="nil"/>
              <w:bottom w:val="single" w:sz="4" w:space="0" w:color="auto"/>
              <w:right w:val="nil"/>
            </w:tcBorders>
          </w:tcPr>
          <w:p w14:paraId="2A4C8A6D" w14:textId="67EDFE54" w:rsidR="00762AF1" w:rsidRDefault="00762AF1" w:rsidP="002329DC">
            <w:pPr>
              <w:pStyle w:val="BodyText"/>
              <w:jc w:val="center"/>
            </w:pPr>
            <w:r>
              <w:t>Frekuensi</w:t>
            </w:r>
          </w:p>
        </w:tc>
        <w:tc>
          <w:tcPr>
            <w:tcW w:w="2629" w:type="dxa"/>
            <w:tcBorders>
              <w:left w:val="nil"/>
              <w:bottom w:val="single" w:sz="4" w:space="0" w:color="auto"/>
            </w:tcBorders>
          </w:tcPr>
          <w:p w14:paraId="55674A8B" w14:textId="75EEC302" w:rsidR="00762AF1" w:rsidRDefault="00762AF1" w:rsidP="002329DC">
            <w:pPr>
              <w:pStyle w:val="BodyText"/>
              <w:jc w:val="center"/>
            </w:pPr>
            <w:r>
              <w:t>Persent%</w:t>
            </w:r>
          </w:p>
        </w:tc>
      </w:tr>
      <w:tr w:rsidR="00762AF1" w14:paraId="0179D811" w14:textId="77777777" w:rsidTr="00762AF1">
        <w:tc>
          <w:tcPr>
            <w:tcW w:w="2562" w:type="dxa"/>
            <w:tcBorders>
              <w:left w:val="nil"/>
              <w:bottom w:val="nil"/>
              <w:right w:val="nil"/>
            </w:tcBorders>
          </w:tcPr>
          <w:p w14:paraId="7C551FDE" w14:textId="42E91410" w:rsidR="00762AF1" w:rsidRDefault="00762AF1" w:rsidP="002329DC">
            <w:pPr>
              <w:pStyle w:val="BodyText"/>
              <w:jc w:val="center"/>
            </w:pPr>
            <w:r>
              <w:t>Laki-laki</w:t>
            </w:r>
          </w:p>
        </w:tc>
        <w:tc>
          <w:tcPr>
            <w:tcW w:w="2639" w:type="dxa"/>
            <w:tcBorders>
              <w:left w:val="nil"/>
              <w:bottom w:val="nil"/>
              <w:right w:val="nil"/>
            </w:tcBorders>
          </w:tcPr>
          <w:p w14:paraId="68B48035" w14:textId="0BF5AD14" w:rsidR="00762AF1" w:rsidRDefault="00762AF1" w:rsidP="002329DC">
            <w:pPr>
              <w:pStyle w:val="BodyText"/>
              <w:jc w:val="center"/>
            </w:pPr>
            <w:r>
              <w:t>26</w:t>
            </w:r>
          </w:p>
        </w:tc>
        <w:tc>
          <w:tcPr>
            <w:tcW w:w="2629" w:type="dxa"/>
            <w:tcBorders>
              <w:left w:val="nil"/>
              <w:bottom w:val="nil"/>
              <w:right w:val="nil"/>
            </w:tcBorders>
          </w:tcPr>
          <w:p w14:paraId="6FA75521" w14:textId="1596D600" w:rsidR="00762AF1" w:rsidRDefault="00762AF1" w:rsidP="002329DC">
            <w:pPr>
              <w:pStyle w:val="BodyText"/>
              <w:jc w:val="center"/>
            </w:pPr>
            <w:r>
              <w:t>54.2%</w:t>
            </w:r>
          </w:p>
        </w:tc>
      </w:tr>
      <w:tr w:rsidR="00762AF1" w14:paraId="1FF0EC0D" w14:textId="77777777" w:rsidTr="00762AF1">
        <w:tc>
          <w:tcPr>
            <w:tcW w:w="2562" w:type="dxa"/>
            <w:tcBorders>
              <w:top w:val="nil"/>
              <w:left w:val="nil"/>
              <w:right w:val="nil"/>
            </w:tcBorders>
          </w:tcPr>
          <w:p w14:paraId="3A62A811" w14:textId="30D988D5" w:rsidR="00762AF1" w:rsidRDefault="00762AF1" w:rsidP="002329DC">
            <w:pPr>
              <w:pStyle w:val="BodyText"/>
              <w:jc w:val="center"/>
            </w:pPr>
            <w:r>
              <w:t>wanita</w:t>
            </w:r>
          </w:p>
        </w:tc>
        <w:tc>
          <w:tcPr>
            <w:tcW w:w="2639" w:type="dxa"/>
            <w:tcBorders>
              <w:top w:val="nil"/>
              <w:left w:val="nil"/>
              <w:right w:val="nil"/>
            </w:tcBorders>
          </w:tcPr>
          <w:p w14:paraId="75D66E3D" w14:textId="1E1190BD" w:rsidR="00762AF1" w:rsidRDefault="00762AF1" w:rsidP="002329DC">
            <w:pPr>
              <w:pStyle w:val="BodyText"/>
              <w:jc w:val="center"/>
            </w:pPr>
            <w:r>
              <w:t>22</w:t>
            </w:r>
          </w:p>
        </w:tc>
        <w:tc>
          <w:tcPr>
            <w:tcW w:w="2629" w:type="dxa"/>
            <w:tcBorders>
              <w:top w:val="nil"/>
              <w:left w:val="nil"/>
              <w:right w:val="nil"/>
            </w:tcBorders>
          </w:tcPr>
          <w:p w14:paraId="3E500C34" w14:textId="466BA06D" w:rsidR="00762AF1" w:rsidRDefault="00762AF1" w:rsidP="002329DC">
            <w:pPr>
              <w:pStyle w:val="BodyText"/>
              <w:jc w:val="center"/>
            </w:pPr>
            <w:r>
              <w:t>45.8%</w:t>
            </w:r>
          </w:p>
        </w:tc>
      </w:tr>
      <w:tr w:rsidR="00762AF1" w14:paraId="02DBD266" w14:textId="77777777" w:rsidTr="00762AF1">
        <w:tc>
          <w:tcPr>
            <w:tcW w:w="2562" w:type="dxa"/>
            <w:tcBorders>
              <w:left w:val="nil"/>
              <w:right w:val="nil"/>
            </w:tcBorders>
          </w:tcPr>
          <w:p w14:paraId="789C7B4C" w14:textId="77777777" w:rsidR="00762AF1" w:rsidRDefault="00762AF1" w:rsidP="002329DC">
            <w:pPr>
              <w:pStyle w:val="BodyText"/>
              <w:jc w:val="center"/>
            </w:pPr>
          </w:p>
        </w:tc>
        <w:tc>
          <w:tcPr>
            <w:tcW w:w="2639" w:type="dxa"/>
            <w:tcBorders>
              <w:left w:val="nil"/>
              <w:right w:val="nil"/>
            </w:tcBorders>
          </w:tcPr>
          <w:p w14:paraId="263304E0" w14:textId="677802B2" w:rsidR="00762AF1" w:rsidRPr="00762AF1" w:rsidRDefault="00762AF1" w:rsidP="002329DC">
            <w:pPr>
              <w:pStyle w:val="BodyText"/>
              <w:jc w:val="center"/>
              <w:rPr>
                <w:b/>
                <w:bCs/>
              </w:rPr>
            </w:pPr>
            <w:r w:rsidRPr="00762AF1">
              <w:rPr>
                <w:b/>
                <w:bCs/>
              </w:rPr>
              <w:t>48</w:t>
            </w:r>
          </w:p>
        </w:tc>
        <w:tc>
          <w:tcPr>
            <w:tcW w:w="2629" w:type="dxa"/>
            <w:tcBorders>
              <w:left w:val="nil"/>
            </w:tcBorders>
          </w:tcPr>
          <w:p w14:paraId="0E4EDF5E" w14:textId="52FEC9B7" w:rsidR="00762AF1" w:rsidRPr="00762AF1" w:rsidRDefault="00762AF1" w:rsidP="002329DC">
            <w:pPr>
              <w:pStyle w:val="BodyText"/>
              <w:jc w:val="center"/>
              <w:rPr>
                <w:b/>
                <w:bCs/>
              </w:rPr>
            </w:pPr>
            <w:r w:rsidRPr="00762AF1">
              <w:rPr>
                <w:b/>
                <w:bCs/>
              </w:rPr>
              <w:t>100.0%</w:t>
            </w:r>
          </w:p>
        </w:tc>
      </w:tr>
    </w:tbl>
    <w:p w14:paraId="311F2F3E" w14:textId="77777777" w:rsidR="00325339" w:rsidRDefault="00325339" w:rsidP="00762AF1">
      <w:pPr>
        <w:pStyle w:val="BodyText"/>
        <w:spacing w:line="360" w:lineRule="auto"/>
        <w:ind w:left="1530"/>
        <w:jc w:val="both"/>
      </w:pPr>
    </w:p>
    <w:p w14:paraId="0FAB76D6" w14:textId="77777777" w:rsidR="00B62D91" w:rsidRPr="00B62D91" w:rsidRDefault="00762AF1" w:rsidP="00B62D91">
      <w:pPr>
        <w:pStyle w:val="BodyText"/>
        <w:spacing w:line="360" w:lineRule="auto"/>
        <w:ind w:left="1530"/>
        <w:jc w:val="both"/>
        <w:rPr>
          <w:lang w:val="en-US"/>
        </w:rPr>
      </w:pPr>
      <w:r w:rsidRPr="00762AF1">
        <w:t>Berdasarkan Tabel 4.2</w:t>
      </w:r>
      <w:r w:rsidR="00325339">
        <w:t xml:space="preserve">  </w:t>
      </w:r>
      <w:r w:rsidR="00B62D91" w:rsidRPr="00B62D91">
        <w:rPr>
          <w:lang w:val="en-US"/>
        </w:rPr>
        <w:t xml:space="preserve">Sebagian </w:t>
      </w:r>
      <w:proofErr w:type="spellStart"/>
      <w:r w:rsidR="00B62D91" w:rsidRPr="00B62D91">
        <w:rPr>
          <w:lang w:val="en-US"/>
        </w:rPr>
        <w:t>besar</w:t>
      </w:r>
      <w:proofErr w:type="spellEnd"/>
      <w:r w:rsidR="00B62D91" w:rsidRPr="00B62D91">
        <w:rPr>
          <w:lang w:val="en-US"/>
        </w:rPr>
        <w:t xml:space="preserve"> </w:t>
      </w:r>
      <w:proofErr w:type="spellStart"/>
      <w:r w:rsidR="00B62D91" w:rsidRPr="00B62D91">
        <w:rPr>
          <w:lang w:val="en-US"/>
        </w:rPr>
        <w:t>responden</w:t>
      </w:r>
      <w:proofErr w:type="spellEnd"/>
      <w:r w:rsidR="00B62D91" w:rsidRPr="00B62D91">
        <w:rPr>
          <w:lang w:val="en-US"/>
        </w:rPr>
        <w:t xml:space="preserve"> </w:t>
      </w:r>
      <w:proofErr w:type="spellStart"/>
      <w:r w:rsidR="00B62D91" w:rsidRPr="00B62D91">
        <w:rPr>
          <w:lang w:val="en-US"/>
        </w:rPr>
        <w:t>berjenis</w:t>
      </w:r>
      <w:proofErr w:type="spellEnd"/>
      <w:r w:rsidR="00B62D91" w:rsidRPr="00B62D91">
        <w:rPr>
          <w:lang w:val="en-US"/>
        </w:rPr>
        <w:t xml:space="preserve"> </w:t>
      </w:r>
      <w:proofErr w:type="spellStart"/>
      <w:r w:rsidR="00B62D91" w:rsidRPr="00B62D91">
        <w:rPr>
          <w:lang w:val="en-US"/>
        </w:rPr>
        <w:t>kelamin</w:t>
      </w:r>
      <w:proofErr w:type="spellEnd"/>
      <w:r w:rsidR="00B62D91" w:rsidRPr="00B62D91">
        <w:rPr>
          <w:lang w:val="en-US"/>
        </w:rPr>
        <w:t xml:space="preserve"> </w:t>
      </w:r>
      <w:proofErr w:type="spellStart"/>
      <w:r w:rsidR="00B62D91" w:rsidRPr="00B62D91">
        <w:rPr>
          <w:lang w:val="en-US"/>
        </w:rPr>
        <w:t>laki-laki</w:t>
      </w:r>
      <w:proofErr w:type="spellEnd"/>
      <w:r w:rsidR="00B62D91" w:rsidRPr="00B62D91">
        <w:rPr>
          <w:lang w:val="en-US"/>
        </w:rPr>
        <w:t xml:space="preserve"> (54,2%), </w:t>
      </w:r>
      <w:proofErr w:type="spellStart"/>
      <w:r w:rsidR="00B62D91" w:rsidRPr="00B62D91">
        <w:rPr>
          <w:lang w:val="en-US"/>
        </w:rPr>
        <w:t>sementara</w:t>
      </w:r>
      <w:proofErr w:type="spellEnd"/>
      <w:r w:rsidR="00B62D91" w:rsidRPr="00B62D91">
        <w:rPr>
          <w:lang w:val="en-US"/>
        </w:rPr>
        <w:t xml:space="preserve"> </w:t>
      </w:r>
      <w:proofErr w:type="spellStart"/>
      <w:r w:rsidR="00B62D91" w:rsidRPr="00B62D91">
        <w:rPr>
          <w:lang w:val="en-US"/>
        </w:rPr>
        <w:t>perempuan</w:t>
      </w:r>
      <w:proofErr w:type="spellEnd"/>
      <w:r w:rsidR="00B62D91" w:rsidRPr="00B62D91">
        <w:rPr>
          <w:lang w:val="en-US"/>
        </w:rPr>
        <w:t xml:space="preserve"> </w:t>
      </w:r>
      <w:proofErr w:type="spellStart"/>
      <w:r w:rsidR="00B62D91" w:rsidRPr="00B62D91">
        <w:rPr>
          <w:lang w:val="en-US"/>
        </w:rPr>
        <w:t>sebanyak</w:t>
      </w:r>
      <w:proofErr w:type="spellEnd"/>
      <w:r w:rsidR="00B62D91" w:rsidRPr="00B62D91">
        <w:rPr>
          <w:lang w:val="en-US"/>
        </w:rPr>
        <w:t xml:space="preserve"> 45,8%. Hasil </w:t>
      </w:r>
      <w:proofErr w:type="spellStart"/>
      <w:r w:rsidR="00B62D91" w:rsidRPr="00B62D91">
        <w:rPr>
          <w:lang w:val="en-US"/>
        </w:rPr>
        <w:t>ini</w:t>
      </w:r>
      <w:proofErr w:type="spellEnd"/>
      <w:r w:rsidR="00B62D91" w:rsidRPr="00B62D91">
        <w:rPr>
          <w:lang w:val="en-US"/>
        </w:rPr>
        <w:t xml:space="preserve"> </w:t>
      </w:r>
      <w:proofErr w:type="spellStart"/>
      <w:r w:rsidR="00B62D91" w:rsidRPr="00B62D91">
        <w:rPr>
          <w:lang w:val="en-US"/>
        </w:rPr>
        <w:t>sejalan</w:t>
      </w:r>
      <w:proofErr w:type="spellEnd"/>
      <w:r w:rsidR="00B62D91" w:rsidRPr="00B62D91">
        <w:rPr>
          <w:lang w:val="en-US"/>
        </w:rPr>
        <w:t xml:space="preserve"> </w:t>
      </w:r>
      <w:proofErr w:type="spellStart"/>
      <w:r w:rsidR="00B62D91" w:rsidRPr="00B62D91">
        <w:rPr>
          <w:lang w:val="en-US"/>
        </w:rPr>
        <w:t>dengan</w:t>
      </w:r>
      <w:proofErr w:type="spellEnd"/>
      <w:r w:rsidR="00B62D91" w:rsidRPr="00B62D91">
        <w:rPr>
          <w:lang w:val="en-US"/>
        </w:rPr>
        <w:t xml:space="preserve"> </w:t>
      </w:r>
      <w:proofErr w:type="spellStart"/>
      <w:r w:rsidR="00B62D91" w:rsidRPr="00B62D91">
        <w:rPr>
          <w:lang w:val="en-US"/>
        </w:rPr>
        <w:t>literatur</w:t>
      </w:r>
      <w:proofErr w:type="spellEnd"/>
      <w:r w:rsidR="00B62D91" w:rsidRPr="00B62D91">
        <w:rPr>
          <w:lang w:val="en-US"/>
        </w:rPr>
        <w:t xml:space="preserve"> yang </w:t>
      </w:r>
      <w:proofErr w:type="spellStart"/>
      <w:r w:rsidR="00B62D91" w:rsidRPr="00B62D91">
        <w:rPr>
          <w:lang w:val="en-US"/>
        </w:rPr>
        <w:t>menyatakan</w:t>
      </w:r>
      <w:proofErr w:type="spellEnd"/>
      <w:r w:rsidR="00B62D91" w:rsidRPr="00B62D91">
        <w:rPr>
          <w:lang w:val="en-US"/>
        </w:rPr>
        <w:t xml:space="preserve"> </w:t>
      </w:r>
      <w:proofErr w:type="spellStart"/>
      <w:r w:rsidR="00B62D91" w:rsidRPr="00B62D91">
        <w:rPr>
          <w:lang w:val="en-US"/>
        </w:rPr>
        <w:t>bahwa</w:t>
      </w:r>
      <w:proofErr w:type="spellEnd"/>
      <w:r w:rsidR="00B62D91" w:rsidRPr="00B62D91">
        <w:rPr>
          <w:lang w:val="en-US"/>
        </w:rPr>
        <w:t xml:space="preserve"> </w:t>
      </w:r>
      <w:proofErr w:type="spellStart"/>
      <w:r w:rsidR="00B62D91" w:rsidRPr="00B62D91">
        <w:rPr>
          <w:lang w:val="en-US"/>
        </w:rPr>
        <w:t>laki-laki</w:t>
      </w:r>
      <w:proofErr w:type="spellEnd"/>
      <w:r w:rsidR="00B62D91" w:rsidRPr="00B62D91">
        <w:rPr>
          <w:lang w:val="en-US"/>
        </w:rPr>
        <w:t xml:space="preserve"> </w:t>
      </w:r>
      <w:proofErr w:type="spellStart"/>
      <w:r w:rsidR="00B62D91" w:rsidRPr="00B62D91">
        <w:rPr>
          <w:lang w:val="en-US"/>
        </w:rPr>
        <w:t>memiliki</w:t>
      </w:r>
      <w:proofErr w:type="spellEnd"/>
      <w:r w:rsidR="00B62D91" w:rsidRPr="00B62D91">
        <w:rPr>
          <w:lang w:val="en-US"/>
        </w:rPr>
        <w:t xml:space="preserve"> </w:t>
      </w:r>
      <w:proofErr w:type="spellStart"/>
      <w:r w:rsidR="00B62D91" w:rsidRPr="00B62D91">
        <w:rPr>
          <w:lang w:val="en-US"/>
        </w:rPr>
        <w:t>kecenderungan</w:t>
      </w:r>
      <w:proofErr w:type="spellEnd"/>
      <w:r w:rsidR="00B62D91" w:rsidRPr="00B62D91">
        <w:rPr>
          <w:lang w:val="en-US"/>
        </w:rPr>
        <w:t xml:space="preserve"> </w:t>
      </w:r>
      <w:proofErr w:type="spellStart"/>
      <w:r w:rsidR="00B62D91" w:rsidRPr="00B62D91">
        <w:rPr>
          <w:lang w:val="en-US"/>
        </w:rPr>
        <w:t>lebih</w:t>
      </w:r>
      <w:proofErr w:type="spellEnd"/>
      <w:r w:rsidR="00B62D91" w:rsidRPr="00B62D91">
        <w:rPr>
          <w:lang w:val="en-US"/>
        </w:rPr>
        <w:t xml:space="preserve"> </w:t>
      </w:r>
      <w:proofErr w:type="spellStart"/>
      <w:r w:rsidR="00B62D91" w:rsidRPr="00B62D91">
        <w:rPr>
          <w:lang w:val="en-US"/>
        </w:rPr>
        <w:lastRenderedPageBreak/>
        <w:t>tinggi</w:t>
      </w:r>
      <w:proofErr w:type="spellEnd"/>
      <w:r w:rsidR="00B62D91" w:rsidRPr="00B62D91">
        <w:rPr>
          <w:lang w:val="en-US"/>
        </w:rPr>
        <w:t xml:space="preserve"> </w:t>
      </w:r>
      <w:proofErr w:type="spellStart"/>
      <w:r w:rsidR="00B62D91" w:rsidRPr="00B62D91">
        <w:rPr>
          <w:lang w:val="en-US"/>
        </w:rPr>
        <w:t>mengalami</w:t>
      </w:r>
      <w:proofErr w:type="spellEnd"/>
      <w:r w:rsidR="00B62D91" w:rsidRPr="00B62D91">
        <w:rPr>
          <w:lang w:val="en-US"/>
        </w:rPr>
        <w:t xml:space="preserve"> </w:t>
      </w:r>
      <w:proofErr w:type="spellStart"/>
      <w:r w:rsidR="00B62D91" w:rsidRPr="00B62D91">
        <w:rPr>
          <w:lang w:val="en-US"/>
        </w:rPr>
        <w:t>gagal</w:t>
      </w:r>
      <w:proofErr w:type="spellEnd"/>
      <w:r w:rsidR="00B62D91" w:rsidRPr="00B62D91">
        <w:rPr>
          <w:lang w:val="en-US"/>
        </w:rPr>
        <w:t xml:space="preserve"> </w:t>
      </w:r>
      <w:proofErr w:type="spellStart"/>
      <w:r w:rsidR="00B62D91" w:rsidRPr="00B62D91">
        <w:rPr>
          <w:lang w:val="en-US"/>
        </w:rPr>
        <w:t>ginjal</w:t>
      </w:r>
      <w:proofErr w:type="spellEnd"/>
      <w:r w:rsidR="00B62D91" w:rsidRPr="00B62D91">
        <w:rPr>
          <w:lang w:val="en-US"/>
        </w:rPr>
        <w:t xml:space="preserve"> </w:t>
      </w:r>
      <w:proofErr w:type="spellStart"/>
      <w:r w:rsidR="00B62D91" w:rsidRPr="00B62D91">
        <w:rPr>
          <w:lang w:val="en-US"/>
        </w:rPr>
        <w:t>kronik</w:t>
      </w:r>
      <w:proofErr w:type="spellEnd"/>
      <w:r w:rsidR="00B62D91" w:rsidRPr="00B62D91">
        <w:rPr>
          <w:lang w:val="en-US"/>
        </w:rPr>
        <w:t xml:space="preserve">, </w:t>
      </w:r>
      <w:proofErr w:type="spellStart"/>
      <w:r w:rsidR="00B62D91" w:rsidRPr="00B62D91">
        <w:rPr>
          <w:lang w:val="en-US"/>
        </w:rPr>
        <w:t>antara</w:t>
      </w:r>
      <w:proofErr w:type="spellEnd"/>
      <w:r w:rsidR="00B62D91" w:rsidRPr="00B62D91">
        <w:rPr>
          <w:lang w:val="en-US"/>
        </w:rPr>
        <w:t xml:space="preserve"> lain </w:t>
      </w:r>
      <w:proofErr w:type="spellStart"/>
      <w:r w:rsidR="00B62D91" w:rsidRPr="00B62D91">
        <w:rPr>
          <w:lang w:val="en-US"/>
        </w:rPr>
        <w:t>karena</w:t>
      </w:r>
      <w:proofErr w:type="spellEnd"/>
      <w:r w:rsidR="00B62D91" w:rsidRPr="00B62D91">
        <w:rPr>
          <w:lang w:val="en-US"/>
        </w:rPr>
        <w:t xml:space="preserve"> </w:t>
      </w:r>
      <w:proofErr w:type="spellStart"/>
      <w:r w:rsidR="00B62D91" w:rsidRPr="00B62D91">
        <w:rPr>
          <w:lang w:val="en-US"/>
        </w:rPr>
        <w:t>gaya</w:t>
      </w:r>
      <w:proofErr w:type="spellEnd"/>
      <w:r w:rsidR="00B62D91" w:rsidRPr="00B62D91">
        <w:rPr>
          <w:lang w:val="en-US"/>
        </w:rPr>
        <w:t xml:space="preserve"> </w:t>
      </w:r>
      <w:proofErr w:type="spellStart"/>
      <w:r w:rsidR="00B62D91" w:rsidRPr="00B62D91">
        <w:rPr>
          <w:lang w:val="en-US"/>
        </w:rPr>
        <w:t>hidup</w:t>
      </w:r>
      <w:proofErr w:type="spellEnd"/>
      <w:r w:rsidR="00B62D91" w:rsidRPr="00B62D91">
        <w:rPr>
          <w:lang w:val="en-US"/>
        </w:rPr>
        <w:t xml:space="preserve"> (</w:t>
      </w:r>
      <w:proofErr w:type="spellStart"/>
      <w:r w:rsidR="00B62D91" w:rsidRPr="00B62D91">
        <w:rPr>
          <w:lang w:val="en-US"/>
        </w:rPr>
        <w:t>merokok</w:t>
      </w:r>
      <w:proofErr w:type="spellEnd"/>
      <w:r w:rsidR="00B62D91" w:rsidRPr="00B62D91">
        <w:rPr>
          <w:lang w:val="en-US"/>
        </w:rPr>
        <w:t xml:space="preserve">, </w:t>
      </w:r>
      <w:proofErr w:type="spellStart"/>
      <w:r w:rsidR="00B62D91" w:rsidRPr="00B62D91">
        <w:rPr>
          <w:lang w:val="en-US"/>
        </w:rPr>
        <w:t>konsumsi</w:t>
      </w:r>
      <w:proofErr w:type="spellEnd"/>
      <w:r w:rsidR="00B62D91" w:rsidRPr="00B62D91">
        <w:rPr>
          <w:lang w:val="en-US"/>
        </w:rPr>
        <w:t xml:space="preserve"> </w:t>
      </w:r>
      <w:proofErr w:type="spellStart"/>
      <w:r w:rsidR="00B62D91" w:rsidRPr="00B62D91">
        <w:rPr>
          <w:lang w:val="en-US"/>
        </w:rPr>
        <w:t>alkohol</w:t>
      </w:r>
      <w:proofErr w:type="spellEnd"/>
      <w:r w:rsidR="00B62D91" w:rsidRPr="00B62D91">
        <w:rPr>
          <w:lang w:val="en-US"/>
        </w:rPr>
        <w:t xml:space="preserve">, </w:t>
      </w:r>
      <w:proofErr w:type="spellStart"/>
      <w:r w:rsidR="00B62D91" w:rsidRPr="00B62D91">
        <w:rPr>
          <w:lang w:val="en-US"/>
        </w:rPr>
        <w:t>pola</w:t>
      </w:r>
      <w:proofErr w:type="spellEnd"/>
      <w:r w:rsidR="00B62D91" w:rsidRPr="00B62D91">
        <w:rPr>
          <w:lang w:val="en-US"/>
        </w:rPr>
        <w:t xml:space="preserve"> </w:t>
      </w:r>
      <w:proofErr w:type="spellStart"/>
      <w:r w:rsidR="00B62D91" w:rsidRPr="00B62D91">
        <w:rPr>
          <w:lang w:val="en-US"/>
        </w:rPr>
        <w:t>makan</w:t>
      </w:r>
      <w:proofErr w:type="spellEnd"/>
      <w:r w:rsidR="00B62D91" w:rsidRPr="00B62D91">
        <w:rPr>
          <w:lang w:val="en-US"/>
        </w:rPr>
        <w:t xml:space="preserve"> </w:t>
      </w:r>
      <w:proofErr w:type="spellStart"/>
      <w:r w:rsidR="00B62D91" w:rsidRPr="00B62D91">
        <w:rPr>
          <w:lang w:val="en-US"/>
        </w:rPr>
        <w:t>tinggi</w:t>
      </w:r>
      <w:proofErr w:type="spellEnd"/>
      <w:r w:rsidR="00B62D91" w:rsidRPr="00B62D91">
        <w:rPr>
          <w:lang w:val="en-US"/>
        </w:rPr>
        <w:t xml:space="preserve"> protein </w:t>
      </w:r>
      <w:proofErr w:type="spellStart"/>
      <w:r w:rsidR="00B62D91" w:rsidRPr="00B62D91">
        <w:rPr>
          <w:lang w:val="en-US"/>
        </w:rPr>
        <w:t>hewani</w:t>
      </w:r>
      <w:proofErr w:type="spellEnd"/>
      <w:r w:rsidR="00B62D91" w:rsidRPr="00B62D91">
        <w:rPr>
          <w:lang w:val="en-US"/>
        </w:rPr>
        <w:t xml:space="preserve">) </w:t>
      </w:r>
      <w:proofErr w:type="spellStart"/>
      <w:r w:rsidR="00B62D91" w:rsidRPr="00B62D91">
        <w:rPr>
          <w:lang w:val="en-US"/>
        </w:rPr>
        <w:t>serta</w:t>
      </w:r>
      <w:proofErr w:type="spellEnd"/>
      <w:r w:rsidR="00B62D91" w:rsidRPr="00B62D91">
        <w:rPr>
          <w:lang w:val="en-US"/>
        </w:rPr>
        <w:t xml:space="preserve"> </w:t>
      </w:r>
      <w:proofErr w:type="spellStart"/>
      <w:r w:rsidR="00B62D91" w:rsidRPr="00B62D91">
        <w:rPr>
          <w:lang w:val="en-US"/>
        </w:rPr>
        <w:t>faktor</w:t>
      </w:r>
      <w:proofErr w:type="spellEnd"/>
      <w:r w:rsidR="00B62D91" w:rsidRPr="00B62D91">
        <w:rPr>
          <w:lang w:val="en-US"/>
        </w:rPr>
        <w:t xml:space="preserve"> hormonal.</w:t>
      </w:r>
    </w:p>
    <w:p w14:paraId="4C150FC8" w14:textId="776DA9EE" w:rsidR="00762AF1" w:rsidRDefault="00797721" w:rsidP="00325339">
      <w:pPr>
        <w:pStyle w:val="BodyText"/>
        <w:numPr>
          <w:ilvl w:val="0"/>
          <w:numId w:val="3"/>
        </w:numPr>
        <w:spacing w:line="360" w:lineRule="auto"/>
        <w:jc w:val="both"/>
      </w:pPr>
      <w:r>
        <w:t>Status Menikah</w:t>
      </w:r>
    </w:p>
    <w:p w14:paraId="2E2586C2" w14:textId="29206251" w:rsidR="00797721" w:rsidRDefault="00797721" w:rsidP="00797721">
      <w:pPr>
        <w:pStyle w:val="BodyText"/>
        <w:spacing w:line="360" w:lineRule="auto"/>
        <w:ind w:left="1530"/>
        <w:jc w:val="center"/>
      </w:pPr>
      <w:r>
        <w:t>Distribusi frekuensi dan presentase berdasarkan status menikah</w:t>
      </w:r>
    </w:p>
    <w:tbl>
      <w:tblPr>
        <w:tblStyle w:val="TableGrid"/>
        <w:tblW w:w="0" w:type="auto"/>
        <w:tblInd w:w="1530" w:type="dxa"/>
        <w:tblBorders>
          <w:left w:val="none" w:sz="0" w:space="0" w:color="auto"/>
          <w:right w:val="none" w:sz="0" w:space="0" w:color="auto"/>
        </w:tblBorders>
        <w:tblLook w:val="04A0" w:firstRow="1" w:lastRow="0" w:firstColumn="1" w:lastColumn="0" w:noHBand="0" w:noVBand="1"/>
      </w:tblPr>
      <w:tblGrid>
        <w:gridCol w:w="2531"/>
        <w:gridCol w:w="2489"/>
        <w:gridCol w:w="2477"/>
      </w:tblGrid>
      <w:tr w:rsidR="00797721" w14:paraId="0B65926E" w14:textId="77777777" w:rsidTr="00797721">
        <w:tc>
          <w:tcPr>
            <w:tcW w:w="2636" w:type="dxa"/>
            <w:tcBorders>
              <w:left w:val="nil"/>
              <w:right w:val="nil"/>
            </w:tcBorders>
          </w:tcPr>
          <w:p w14:paraId="4BBB087F" w14:textId="77777777" w:rsidR="00797721" w:rsidRDefault="00797721" w:rsidP="002329DC">
            <w:pPr>
              <w:pStyle w:val="BodyText"/>
              <w:jc w:val="center"/>
            </w:pPr>
          </w:p>
        </w:tc>
        <w:tc>
          <w:tcPr>
            <w:tcW w:w="2602" w:type="dxa"/>
            <w:tcBorders>
              <w:left w:val="nil"/>
              <w:bottom w:val="single" w:sz="4" w:space="0" w:color="auto"/>
              <w:right w:val="nil"/>
            </w:tcBorders>
          </w:tcPr>
          <w:p w14:paraId="6141C70D" w14:textId="10393E4F" w:rsidR="00797721" w:rsidRDefault="00797721" w:rsidP="002329DC">
            <w:pPr>
              <w:pStyle w:val="BodyText"/>
              <w:jc w:val="center"/>
            </w:pPr>
            <w:r>
              <w:t>Frekuensi</w:t>
            </w:r>
          </w:p>
        </w:tc>
        <w:tc>
          <w:tcPr>
            <w:tcW w:w="2592" w:type="dxa"/>
            <w:tcBorders>
              <w:left w:val="nil"/>
            </w:tcBorders>
          </w:tcPr>
          <w:p w14:paraId="337E3289" w14:textId="7E85C1B4" w:rsidR="00797721" w:rsidRDefault="00797721" w:rsidP="002329DC">
            <w:pPr>
              <w:pStyle w:val="BodyText"/>
              <w:jc w:val="center"/>
            </w:pPr>
            <w:r>
              <w:t>Persent%</w:t>
            </w:r>
          </w:p>
        </w:tc>
      </w:tr>
      <w:tr w:rsidR="00797721" w14:paraId="06139BA4" w14:textId="77777777" w:rsidTr="00797721">
        <w:tc>
          <w:tcPr>
            <w:tcW w:w="2636" w:type="dxa"/>
            <w:tcBorders>
              <w:left w:val="nil"/>
              <w:bottom w:val="nil"/>
              <w:right w:val="nil"/>
            </w:tcBorders>
          </w:tcPr>
          <w:p w14:paraId="52AF4593" w14:textId="4C218ACF" w:rsidR="00797721" w:rsidRDefault="00797721" w:rsidP="002329DC">
            <w:pPr>
              <w:pStyle w:val="BodyText"/>
              <w:jc w:val="center"/>
            </w:pPr>
            <w:r>
              <w:t>menikah</w:t>
            </w:r>
          </w:p>
        </w:tc>
        <w:tc>
          <w:tcPr>
            <w:tcW w:w="2602" w:type="dxa"/>
            <w:tcBorders>
              <w:left w:val="nil"/>
              <w:bottom w:val="nil"/>
              <w:right w:val="nil"/>
            </w:tcBorders>
          </w:tcPr>
          <w:p w14:paraId="290CFA69" w14:textId="17920F3A" w:rsidR="00797721" w:rsidRDefault="00797721" w:rsidP="002329DC">
            <w:pPr>
              <w:pStyle w:val="BodyText"/>
              <w:jc w:val="center"/>
            </w:pPr>
            <w:r>
              <w:t>40</w:t>
            </w:r>
          </w:p>
        </w:tc>
        <w:tc>
          <w:tcPr>
            <w:tcW w:w="2592" w:type="dxa"/>
            <w:tcBorders>
              <w:left w:val="nil"/>
              <w:bottom w:val="nil"/>
            </w:tcBorders>
          </w:tcPr>
          <w:p w14:paraId="71EF5819" w14:textId="16A359B7" w:rsidR="00797721" w:rsidRDefault="00797721" w:rsidP="002329DC">
            <w:pPr>
              <w:pStyle w:val="BodyText"/>
              <w:jc w:val="center"/>
            </w:pPr>
            <w:r>
              <w:t>83.3%</w:t>
            </w:r>
          </w:p>
        </w:tc>
      </w:tr>
      <w:tr w:rsidR="00797721" w14:paraId="638D818A" w14:textId="77777777" w:rsidTr="00797721">
        <w:tc>
          <w:tcPr>
            <w:tcW w:w="2636" w:type="dxa"/>
            <w:tcBorders>
              <w:top w:val="nil"/>
              <w:left w:val="nil"/>
              <w:bottom w:val="nil"/>
              <w:right w:val="nil"/>
            </w:tcBorders>
          </w:tcPr>
          <w:p w14:paraId="39468D10" w14:textId="6BA2F995" w:rsidR="00797721" w:rsidRDefault="00797721" w:rsidP="002329DC">
            <w:pPr>
              <w:pStyle w:val="BodyText"/>
              <w:jc w:val="center"/>
            </w:pPr>
            <w:r>
              <w:t>Belum menikah</w:t>
            </w:r>
          </w:p>
        </w:tc>
        <w:tc>
          <w:tcPr>
            <w:tcW w:w="2602" w:type="dxa"/>
            <w:tcBorders>
              <w:top w:val="nil"/>
              <w:left w:val="nil"/>
              <w:bottom w:val="nil"/>
              <w:right w:val="nil"/>
            </w:tcBorders>
          </w:tcPr>
          <w:p w14:paraId="629E7846" w14:textId="595EF152" w:rsidR="00797721" w:rsidRDefault="00797721" w:rsidP="002329DC">
            <w:pPr>
              <w:pStyle w:val="BodyText"/>
              <w:jc w:val="center"/>
            </w:pPr>
            <w:r>
              <w:t>3</w:t>
            </w:r>
          </w:p>
        </w:tc>
        <w:tc>
          <w:tcPr>
            <w:tcW w:w="2592" w:type="dxa"/>
            <w:tcBorders>
              <w:top w:val="nil"/>
              <w:left w:val="nil"/>
              <w:bottom w:val="nil"/>
            </w:tcBorders>
          </w:tcPr>
          <w:p w14:paraId="747910FC" w14:textId="009E7F46" w:rsidR="00797721" w:rsidRDefault="00797721" w:rsidP="002329DC">
            <w:pPr>
              <w:pStyle w:val="BodyText"/>
              <w:jc w:val="center"/>
            </w:pPr>
            <w:r>
              <w:t>6.3%</w:t>
            </w:r>
          </w:p>
        </w:tc>
      </w:tr>
      <w:tr w:rsidR="00797721" w14:paraId="6AAFBFC8" w14:textId="77777777" w:rsidTr="00797721">
        <w:tc>
          <w:tcPr>
            <w:tcW w:w="2636" w:type="dxa"/>
            <w:tcBorders>
              <w:top w:val="nil"/>
              <w:left w:val="nil"/>
              <w:right w:val="nil"/>
            </w:tcBorders>
          </w:tcPr>
          <w:p w14:paraId="46AF7DD9" w14:textId="6389B05A" w:rsidR="00797721" w:rsidRDefault="00797721" w:rsidP="002329DC">
            <w:pPr>
              <w:pStyle w:val="BodyText"/>
              <w:jc w:val="center"/>
            </w:pPr>
            <w:r>
              <w:t>Janda/duda</w:t>
            </w:r>
          </w:p>
        </w:tc>
        <w:tc>
          <w:tcPr>
            <w:tcW w:w="2602" w:type="dxa"/>
            <w:tcBorders>
              <w:top w:val="nil"/>
              <w:left w:val="nil"/>
              <w:right w:val="nil"/>
            </w:tcBorders>
          </w:tcPr>
          <w:p w14:paraId="557BCB31" w14:textId="2A5CBB0B" w:rsidR="00797721" w:rsidRDefault="00797721" w:rsidP="002329DC">
            <w:pPr>
              <w:pStyle w:val="BodyText"/>
              <w:jc w:val="center"/>
            </w:pPr>
            <w:r>
              <w:t>5</w:t>
            </w:r>
          </w:p>
        </w:tc>
        <w:tc>
          <w:tcPr>
            <w:tcW w:w="2592" w:type="dxa"/>
            <w:tcBorders>
              <w:top w:val="nil"/>
              <w:left w:val="nil"/>
            </w:tcBorders>
          </w:tcPr>
          <w:p w14:paraId="092EFD15" w14:textId="5B85630A" w:rsidR="00797721" w:rsidRDefault="00797721" w:rsidP="002329DC">
            <w:pPr>
              <w:pStyle w:val="BodyText"/>
              <w:jc w:val="center"/>
            </w:pPr>
            <w:r>
              <w:t>10.4%</w:t>
            </w:r>
          </w:p>
        </w:tc>
      </w:tr>
      <w:tr w:rsidR="00797721" w14:paraId="7C564F0A" w14:textId="77777777" w:rsidTr="00797721">
        <w:tc>
          <w:tcPr>
            <w:tcW w:w="2636" w:type="dxa"/>
            <w:tcBorders>
              <w:left w:val="nil"/>
              <w:right w:val="nil"/>
            </w:tcBorders>
          </w:tcPr>
          <w:p w14:paraId="735D3B7D" w14:textId="3CD36589" w:rsidR="00797721" w:rsidRDefault="00797721" w:rsidP="002329DC">
            <w:pPr>
              <w:pStyle w:val="BodyText"/>
              <w:jc w:val="center"/>
            </w:pPr>
            <w:r>
              <w:t>total</w:t>
            </w:r>
          </w:p>
        </w:tc>
        <w:tc>
          <w:tcPr>
            <w:tcW w:w="2602" w:type="dxa"/>
            <w:tcBorders>
              <w:left w:val="nil"/>
              <w:right w:val="nil"/>
            </w:tcBorders>
          </w:tcPr>
          <w:p w14:paraId="5AC01076" w14:textId="60E7EDDE" w:rsidR="00797721" w:rsidRPr="00797721" w:rsidRDefault="00797721" w:rsidP="002329DC">
            <w:pPr>
              <w:pStyle w:val="BodyText"/>
              <w:jc w:val="center"/>
              <w:rPr>
                <w:b/>
                <w:bCs/>
              </w:rPr>
            </w:pPr>
            <w:r>
              <w:rPr>
                <w:b/>
                <w:bCs/>
              </w:rPr>
              <w:t>48</w:t>
            </w:r>
          </w:p>
        </w:tc>
        <w:tc>
          <w:tcPr>
            <w:tcW w:w="2592" w:type="dxa"/>
            <w:tcBorders>
              <w:left w:val="nil"/>
            </w:tcBorders>
          </w:tcPr>
          <w:p w14:paraId="154467FF" w14:textId="0EA5149C" w:rsidR="00797721" w:rsidRPr="00797721" w:rsidRDefault="00797721" w:rsidP="002329DC">
            <w:pPr>
              <w:pStyle w:val="BodyText"/>
              <w:jc w:val="center"/>
              <w:rPr>
                <w:b/>
                <w:bCs/>
              </w:rPr>
            </w:pPr>
            <w:r>
              <w:rPr>
                <w:b/>
                <w:bCs/>
              </w:rPr>
              <w:t>100.0%</w:t>
            </w:r>
          </w:p>
        </w:tc>
      </w:tr>
    </w:tbl>
    <w:p w14:paraId="735C3F3D" w14:textId="77777777" w:rsidR="00B62D91" w:rsidRPr="00B62D91" w:rsidRDefault="00797721" w:rsidP="00B62D91">
      <w:pPr>
        <w:pStyle w:val="BodyText"/>
        <w:spacing w:line="360" w:lineRule="auto"/>
        <w:ind w:left="1530"/>
        <w:jc w:val="both"/>
        <w:rPr>
          <w:lang w:val="en-US"/>
        </w:rPr>
      </w:pPr>
      <w:r w:rsidRPr="00797721">
        <w:t>Berdasarkan tabel</w:t>
      </w:r>
      <w:r>
        <w:t xml:space="preserve"> 4.3</w:t>
      </w:r>
      <w:r w:rsidR="00B62D91" w:rsidRPr="00B62D91">
        <w:rPr>
          <w:lang w:val="en-US"/>
        </w:rPr>
        <w:t xml:space="preserve">3 </w:t>
      </w:r>
      <w:proofErr w:type="spellStart"/>
      <w:r w:rsidR="00B62D91" w:rsidRPr="00B62D91">
        <w:rPr>
          <w:lang w:val="en-US"/>
        </w:rPr>
        <w:t>Mayoritas</w:t>
      </w:r>
      <w:proofErr w:type="spellEnd"/>
      <w:r w:rsidR="00B62D91" w:rsidRPr="00B62D91">
        <w:rPr>
          <w:lang w:val="en-US"/>
        </w:rPr>
        <w:t xml:space="preserve"> </w:t>
      </w:r>
      <w:proofErr w:type="spellStart"/>
      <w:r w:rsidR="00B62D91" w:rsidRPr="00B62D91">
        <w:rPr>
          <w:lang w:val="en-US"/>
        </w:rPr>
        <w:t>responden</w:t>
      </w:r>
      <w:proofErr w:type="spellEnd"/>
      <w:r w:rsidR="00B62D91" w:rsidRPr="00B62D91">
        <w:rPr>
          <w:lang w:val="en-US"/>
        </w:rPr>
        <w:t xml:space="preserve"> </w:t>
      </w:r>
      <w:proofErr w:type="spellStart"/>
      <w:r w:rsidR="00B62D91" w:rsidRPr="00B62D91">
        <w:rPr>
          <w:lang w:val="en-US"/>
        </w:rPr>
        <w:t>berstatus</w:t>
      </w:r>
      <w:proofErr w:type="spellEnd"/>
      <w:r w:rsidR="00B62D91" w:rsidRPr="00B62D91">
        <w:rPr>
          <w:lang w:val="en-US"/>
        </w:rPr>
        <w:t xml:space="preserve"> </w:t>
      </w:r>
      <w:proofErr w:type="spellStart"/>
      <w:r w:rsidR="00B62D91" w:rsidRPr="00B62D91">
        <w:rPr>
          <w:lang w:val="en-US"/>
        </w:rPr>
        <w:t>menikah</w:t>
      </w:r>
      <w:proofErr w:type="spellEnd"/>
      <w:r w:rsidR="00B62D91" w:rsidRPr="00B62D91">
        <w:rPr>
          <w:lang w:val="en-US"/>
        </w:rPr>
        <w:t xml:space="preserve"> (83,3%), </w:t>
      </w:r>
      <w:proofErr w:type="spellStart"/>
      <w:r w:rsidR="00B62D91" w:rsidRPr="00B62D91">
        <w:rPr>
          <w:lang w:val="en-US"/>
        </w:rPr>
        <w:t>sisanya</w:t>
      </w:r>
      <w:proofErr w:type="spellEnd"/>
      <w:r w:rsidR="00B62D91" w:rsidRPr="00B62D91">
        <w:rPr>
          <w:lang w:val="en-US"/>
        </w:rPr>
        <w:t xml:space="preserve"> </w:t>
      </w:r>
      <w:proofErr w:type="spellStart"/>
      <w:r w:rsidR="00B62D91" w:rsidRPr="00B62D91">
        <w:rPr>
          <w:lang w:val="en-US"/>
        </w:rPr>
        <w:t>janda</w:t>
      </w:r>
      <w:proofErr w:type="spellEnd"/>
      <w:r w:rsidR="00B62D91" w:rsidRPr="00B62D91">
        <w:rPr>
          <w:lang w:val="en-US"/>
        </w:rPr>
        <w:t>/</w:t>
      </w:r>
      <w:proofErr w:type="spellStart"/>
      <w:r w:rsidR="00B62D91" w:rsidRPr="00B62D91">
        <w:rPr>
          <w:lang w:val="en-US"/>
        </w:rPr>
        <w:t>duda</w:t>
      </w:r>
      <w:proofErr w:type="spellEnd"/>
      <w:r w:rsidR="00B62D91" w:rsidRPr="00B62D91">
        <w:rPr>
          <w:lang w:val="en-US"/>
        </w:rPr>
        <w:t xml:space="preserve"> (10,4%) dan </w:t>
      </w:r>
      <w:proofErr w:type="spellStart"/>
      <w:r w:rsidR="00B62D91" w:rsidRPr="00B62D91">
        <w:rPr>
          <w:lang w:val="en-US"/>
        </w:rPr>
        <w:t>belum</w:t>
      </w:r>
      <w:proofErr w:type="spellEnd"/>
      <w:r w:rsidR="00B62D91" w:rsidRPr="00B62D91">
        <w:rPr>
          <w:lang w:val="en-US"/>
        </w:rPr>
        <w:t xml:space="preserve"> </w:t>
      </w:r>
      <w:proofErr w:type="spellStart"/>
      <w:r w:rsidR="00B62D91" w:rsidRPr="00B62D91">
        <w:rPr>
          <w:lang w:val="en-US"/>
        </w:rPr>
        <w:t>menikah</w:t>
      </w:r>
      <w:proofErr w:type="spellEnd"/>
      <w:r w:rsidR="00B62D91" w:rsidRPr="00B62D91">
        <w:rPr>
          <w:lang w:val="en-US"/>
        </w:rPr>
        <w:t xml:space="preserve"> (6,3%). </w:t>
      </w:r>
      <w:proofErr w:type="spellStart"/>
      <w:r w:rsidR="00B62D91" w:rsidRPr="00B62D91">
        <w:rPr>
          <w:lang w:val="en-US"/>
        </w:rPr>
        <w:t>Tingginya</w:t>
      </w:r>
      <w:proofErr w:type="spellEnd"/>
      <w:r w:rsidR="00B62D91" w:rsidRPr="00B62D91">
        <w:rPr>
          <w:lang w:val="en-US"/>
        </w:rPr>
        <w:t xml:space="preserve"> </w:t>
      </w:r>
      <w:proofErr w:type="spellStart"/>
      <w:r w:rsidR="00B62D91" w:rsidRPr="00B62D91">
        <w:rPr>
          <w:lang w:val="en-US"/>
        </w:rPr>
        <w:t>jumlah</w:t>
      </w:r>
      <w:proofErr w:type="spellEnd"/>
      <w:r w:rsidR="00B62D91" w:rsidRPr="00B62D91">
        <w:rPr>
          <w:lang w:val="en-US"/>
        </w:rPr>
        <w:t xml:space="preserve"> </w:t>
      </w:r>
      <w:proofErr w:type="spellStart"/>
      <w:r w:rsidR="00B62D91" w:rsidRPr="00B62D91">
        <w:rPr>
          <w:lang w:val="en-US"/>
        </w:rPr>
        <w:t>responden</w:t>
      </w:r>
      <w:proofErr w:type="spellEnd"/>
      <w:r w:rsidR="00B62D91" w:rsidRPr="00B62D91">
        <w:rPr>
          <w:lang w:val="en-US"/>
        </w:rPr>
        <w:t xml:space="preserve"> yang </w:t>
      </w:r>
      <w:proofErr w:type="spellStart"/>
      <w:r w:rsidR="00B62D91" w:rsidRPr="00B62D91">
        <w:rPr>
          <w:lang w:val="en-US"/>
        </w:rPr>
        <w:t>menikah</w:t>
      </w:r>
      <w:proofErr w:type="spellEnd"/>
      <w:r w:rsidR="00B62D91" w:rsidRPr="00B62D91">
        <w:rPr>
          <w:lang w:val="en-US"/>
        </w:rPr>
        <w:t xml:space="preserve"> </w:t>
      </w:r>
      <w:proofErr w:type="spellStart"/>
      <w:r w:rsidR="00B62D91" w:rsidRPr="00B62D91">
        <w:rPr>
          <w:lang w:val="en-US"/>
        </w:rPr>
        <w:t>mencerminkan</w:t>
      </w:r>
      <w:proofErr w:type="spellEnd"/>
      <w:r w:rsidR="00B62D91" w:rsidRPr="00B62D91">
        <w:rPr>
          <w:lang w:val="en-US"/>
        </w:rPr>
        <w:t xml:space="preserve"> </w:t>
      </w:r>
      <w:proofErr w:type="spellStart"/>
      <w:r w:rsidR="00B62D91" w:rsidRPr="00B62D91">
        <w:rPr>
          <w:lang w:val="en-US"/>
        </w:rPr>
        <w:t>pentingnya</w:t>
      </w:r>
      <w:proofErr w:type="spellEnd"/>
      <w:r w:rsidR="00B62D91" w:rsidRPr="00B62D91">
        <w:rPr>
          <w:lang w:val="en-US"/>
        </w:rPr>
        <w:t xml:space="preserve"> </w:t>
      </w:r>
      <w:proofErr w:type="spellStart"/>
      <w:r w:rsidR="00B62D91" w:rsidRPr="00B62D91">
        <w:rPr>
          <w:lang w:val="en-US"/>
        </w:rPr>
        <w:t>dukungan</w:t>
      </w:r>
      <w:proofErr w:type="spellEnd"/>
      <w:r w:rsidR="00B62D91" w:rsidRPr="00B62D91">
        <w:rPr>
          <w:lang w:val="en-US"/>
        </w:rPr>
        <w:t xml:space="preserve"> </w:t>
      </w:r>
      <w:proofErr w:type="spellStart"/>
      <w:r w:rsidR="00B62D91" w:rsidRPr="00B62D91">
        <w:rPr>
          <w:lang w:val="en-US"/>
        </w:rPr>
        <w:t>pasangan</w:t>
      </w:r>
      <w:proofErr w:type="spellEnd"/>
      <w:r w:rsidR="00B62D91" w:rsidRPr="00B62D91">
        <w:rPr>
          <w:lang w:val="en-US"/>
        </w:rPr>
        <w:t xml:space="preserve"> </w:t>
      </w:r>
      <w:proofErr w:type="spellStart"/>
      <w:r w:rsidR="00B62D91" w:rsidRPr="00B62D91">
        <w:rPr>
          <w:lang w:val="en-US"/>
        </w:rPr>
        <w:t>dalam</w:t>
      </w:r>
      <w:proofErr w:type="spellEnd"/>
      <w:r w:rsidR="00B62D91" w:rsidRPr="00B62D91">
        <w:rPr>
          <w:lang w:val="en-US"/>
        </w:rPr>
        <w:t xml:space="preserve"> </w:t>
      </w:r>
      <w:proofErr w:type="spellStart"/>
      <w:r w:rsidR="00B62D91" w:rsidRPr="00B62D91">
        <w:rPr>
          <w:lang w:val="en-US"/>
        </w:rPr>
        <w:t>meningkatkan</w:t>
      </w:r>
      <w:proofErr w:type="spellEnd"/>
      <w:r w:rsidR="00B62D91" w:rsidRPr="00B62D91">
        <w:rPr>
          <w:lang w:val="en-US"/>
        </w:rPr>
        <w:t xml:space="preserve"> </w:t>
      </w:r>
      <w:proofErr w:type="spellStart"/>
      <w:r w:rsidR="00B62D91" w:rsidRPr="00B62D91">
        <w:rPr>
          <w:lang w:val="en-US"/>
        </w:rPr>
        <w:t>kepatuhan</w:t>
      </w:r>
      <w:proofErr w:type="spellEnd"/>
      <w:r w:rsidR="00B62D91" w:rsidRPr="00B62D91">
        <w:rPr>
          <w:lang w:val="en-US"/>
        </w:rPr>
        <w:t xml:space="preserve"> </w:t>
      </w:r>
      <w:proofErr w:type="spellStart"/>
      <w:r w:rsidR="00B62D91" w:rsidRPr="00B62D91">
        <w:rPr>
          <w:lang w:val="en-US"/>
        </w:rPr>
        <w:t>terhadap</w:t>
      </w:r>
      <w:proofErr w:type="spellEnd"/>
      <w:r w:rsidR="00B62D91" w:rsidRPr="00B62D91">
        <w:rPr>
          <w:lang w:val="en-US"/>
        </w:rPr>
        <w:t xml:space="preserve"> </w:t>
      </w:r>
      <w:proofErr w:type="spellStart"/>
      <w:r w:rsidR="00B62D91" w:rsidRPr="00B62D91">
        <w:rPr>
          <w:lang w:val="en-US"/>
        </w:rPr>
        <w:t>terapi</w:t>
      </w:r>
      <w:proofErr w:type="spellEnd"/>
      <w:r w:rsidR="00B62D91" w:rsidRPr="00B62D91">
        <w:rPr>
          <w:lang w:val="en-US"/>
        </w:rPr>
        <w:t xml:space="preserve"> </w:t>
      </w:r>
      <w:proofErr w:type="spellStart"/>
      <w:r w:rsidR="00B62D91" w:rsidRPr="00B62D91">
        <w:rPr>
          <w:lang w:val="en-US"/>
        </w:rPr>
        <w:t>serta</w:t>
      </w:r>
      <w:proofErr w:type="spellEnd"/>
      <w:r w:rsidR="00B62D91" w:rsidRPr="00B62D91">
        <w:rPr>
          <w:lang w:val="en-US"/>
        </w:rPr>
        <w:t xml:space="preserve"> </w:t>
      </w:r>
      <w:proofErr w:type="spellStart"/>
      <w:r w:rsidR="00B62D91" w:rsidRPr="00B62D91">
        <w:rPr>
          <w:lang w:val="en-US"/>
        </w:rPr>
        <w:t>kualitas</w:t>
      </w:r>
      <w:proofErr w:type="spellEnd"/>
      <w:r w:rsidR="00B62D91" w:rsidRPr="00B62D91">
        <w:rPr>
          <w:lang w:val="en-US"/>
        </w:rPr>
        <w:t xml:space="preserve"> </w:t>
      </w:r>
      <w:proofErr w:type="spellStart"/>
      <w:r w:rsidR="00B62D91" w:rsidRPr="00B62D91">
        <w:rPr>
          <w:lang w:val="en-US"/>
        </w:rPr>
        <w:t>hidup</w:t>
      </w:r>
      <w:proofErr w:type="spellEnd"/>
      <w:r w:rsidR="00B62D91" w:rsidRPr="00B62D91">
        <w:rPr>
          <w:lang w:val="en-US"/>
        </w:rPr>
        <w:t>.</w:t>
      </w:r>
    </w:p>
    <w:p w14:paraId="4AD1181A" w14:textId="6B4E1E9B" w:rsidR="00D3084B" w:rsidRDefault="00797721" w:rsidP="00325339">
      <w:pPr>
        <w:pStyle w:val="BodyText"/>
        <w:numPr>
          <w:ilvl w:val="0"/>
          <w:numId w:val="3"/>
        </w:numPr>
        <w:spacing w:line="360" w:lineRule="auto"/>
        <w:jc w:val="both"/>
      </w:pPr>
      <w:r>
        <w:t>Pekerjaan</w:t>
      </w:r>
    </w:p>
    <w:p w14:paraId="4A6EFBAB" w14:textId="3D4A4897" w:rsidR="00797721" w:rsidRDefault="00797721" w:rsidP="00797721">
      <w:pPr>
        <w:pStyle w:val="BodyText"/>
        <w:spacing w:line="360" w:lineRule="auto"/>
        <w:ind w:left="1530"/>
        <w:jc w:val="center"/>
      </w:pPr>
      <w:r>
        <w:t>Distribusi frekuensi dan presentase berdasarkan pekerjaan</w:t>
      </w:r>
    </w:p>
    <w:tbl>
      <w:tblPr>
        <w:tblStyle w:val="TableGrid"/>
        <w:tblW w:w="0" w:type="auto"/>
        <w:tblInd w:w="1530" w:type="dxa"/>
        <w:tblBorders>
          <w:left w:val="none" w:sz="0" w:space="0" w:color="auto"/>
          <w:right w:val="none" w:sz="0" w:space="0" w:color="auto"/>
        </w:tblBorders>
        <w:tblLook w:val="04A0" w:firstRow="1" w:lastRow="0" w:firstColumn="1" w:lastColumn="0" w:noHBand="0" w:noVBand="1"/>
      </w:tblPr>
      <w:tblGrid>
        <w:gridCol w:w="2463"/>
        <w:gridCol w:w="2523"/>
        <w:gridCol w:w="2511"/>
      </w:tblGrid>
      <w:tr w:rsidR="00F553DB" w14:paraId="7287D10C" w14:textId="77777777" w:rsidTr="00F553DB">
        <w:tc>
          <w:tcPr>
            <w:tcW w:w="2580" w:type="dxa"/>
            <w:tcBorders>
              <w:bottom w:val="single" w:sz="4" w:space="0" w:color="auto"/>
              <w:right w:val="nil"/>
            </w:tcBorders>
          </w:tcPr>
          <w:p w14:paraId="47A7BAC9" w14:textId="77777777" w:rsidR="00F553DB" w:rsidRDefault="00F553DB" w:rsidP="002329DC">
            <w:pPr>
              <w:pStyle w:val="BodyText"/>
              <w:jc w:val="center"/>
            </w:pPr>
          </w:p>
        </w:tc>
        <w:tc>
          <w:tcPr>
            <w:tcW w:w="2630" w:type="dxa"/>
            <w:tcBorders>
              <w:left w:val="nil"/>
              <w:bottom w:val="single" w:sz="4" w:space="0" w:color="auto"/>
              <w:right w:val="nil"/>
            </w:tcBorders>
          </w:tcPr>
          <w:p w14:paraId="08B58F5C" w14:textId="78D00A47" w:rsidR="00F553DB" w:rsidRDefault="00F553DB" w:rsidP="002329DC">
            <w:pPr>
              <w:pStyle w:val="BodyText"/>
              <w:jc w:val="center"/>
            </w:pPr>
            <w:r>
              <w:t>Frekuensi</w:t>
            </w:r>
          </w:p>
        </w:tc>
        <w:tc>
          <w:tcPr>
            <w:tcW w:w="2620" w:type="dxa"/>
            <w:tcBorders>
              <w:left w:val="nil"/>
              <w:bottom w:val="single" w:sz="4" w:space="0" w:color="auto"/>
            </w:tcBorders>
          </w:tcPr>
          <w:p w14:paraId="384963D6" w14:textId="75E3B4F4" w:rsidR="00F553DB" w:rsidRDefault="00F553DB" w:rsidP="002329DC">
            <w:pPr>
              <w:pStyle w:val="BodyText"/>
              <w:jc w:val="center"/>
            </w:pPr>
            <w:r>
              <w:t>Persent%</w:t>
            </w:r>
          </w:p>
        </w:tc>
      </w:tr>
      <w:tr w:rsidR="00F553DB" w14:paraId="538960FF" w14:textId="77777777" w:rsidTr="00F553DB">
        <w:tc>
          <w:tcPr>
            <w:tcW w:w="2580" w:type="dxa"/>
            <w:tcBorders>
              <w:bottom w:val="nil"/>
              <w:right w:val="nil"/>
            </w:tcBorders>
          </w:tcPr>
          <w:p w14:paraId="5F6B9E10" w14:textId="619B899D" w:rsidR="00F553DB" w:rsidRDefault="00F553DB" w:rsidP="002329DC">
            <w:pPr>
              <w:pStyle w:val="BodyText"/>
              <w:jc w:val="center"/>
            </w:pPr>
            <w:r>
              <w:t xml:space="preserve">Bekerja </w:t>
            </w:r>
          </w:p>
        </w:tc>
        <w:tc>
          <w:tcPr>
            <w:tcW w:w="2630" w:type="dxa"/>
            <w:tcBorders>
              <w:left w:val="nil"/>
              <w:bottom w:val="nil"/>
              <w:right w:val="nil"/>
            </w:tcBorders>
          </w:tcPr>
          <w:p w14:paraId="3E9BAA73" w14:textId="7352E065" w:rsidR="00F553DB" w:rsidRDefault="00F553DB" w:rsidP="002329DC">
            <w:pPr>
              <w:pStyle w:val="BodyText"/>
              <w:jc w:val="center"/>
            </w:pPr>
            <w:r>
              <w:t>30</w:t>
            </w:r>
          </w:p>
        </w:tc>
        <w:tc>
          <w:tcPr>
            <w:tcW w:w="2620" w:type="dxa"/>
            <w:tcBorders>
              <w:left w:val="nil"/>
              <w:bottom w:val="nil"/>
            </w:tcBorders>
          </w:tcPr>
          <w:p w14:paraId="74E6C10F" w14:textId="44C4EF71" w:rsidR="00F553DB" w:rsidRDefault="00F553DB" w:rsidP="002329DC">
            <w:pPr>
              <w:pStyle w:val="BodyText"/>
              <w:jc w:val="center"/>
            </w:pPr>
            <w:r>
              <w:t>62.5%</w:t>
            </w:r>
          </w:p>
        </w:tc>
      </w:tr>
      <w:tr w:rsidR="00F553DB" w14:paraId="2BDD3FA5" w14:textId="77777777" w:rsidTr="00F553DB">
        <w:tc>
          <w:tcPr>
            <w:tcW w:w="2580" w:type="dxa"/>
            <w:tcBorders>
              <w:top w:val="nil"/>
              <w:right w:val="nil"/>
            </w:tcBorders>
          </w:tcPr>
          <w:p w14:paraId="585AFCEA" w14:textId="0F5CBD1E" w:rsidR="00F553DB" w:rsidRDefault="00F553DB" w:rsidP="002329DC">
            <w:pPr>
              <w:pStyle w:val="BodyText"/>
              <w:jc w:val="center"/>
            </w:pPr>
            <w:r>
              <w:t>Tidak bekerja</w:t>
            </w:r>
          </w:p>
        </w:tc>
        <w:tc>
          <w:tcPr>
            <w:tcW w:w="2630" w:type="dxa"/>
            <w:tcBorders>
              <w:top w:val="nil"/>
              <w:left w:val="nil"/>
              <w:right w:val="nil"/>
            </w:tcBorders>
          </w:tcPr>
          <w:p w14:paraId="35A57486" w14:textId="7AB7B606" w:rsidR="00F553DB" w:rsidRDefault="00F553DB" w:rsidP="002329DC">
            <w:pPr>
              <w:pStyle w:val="BodyText"/>
              <w:jc w:val="center"/>
            </w:pPr>
            <w:r>
              <w:t>18</w:t>
            </w:r>
          </w:p>
        </w:tc>
        <w:tc>
          <w:tcPr>
            <w:tcW w:w="2620" w:type="dxa"/>
            <w:tcBorders>
              <w:top w:val="nil"/>
              <w:left w:val="nil"/>
            </w:tcBorders>
          </w:tcPr>
          <w:p w14:paraId="27741884" w14:textId="490DA878" w:rsidR="00F553DB" w:rsidRDefault="00F553DB" w:rsidP="002329DC">
            <w:pPr>
              <w:pStyle w:val="BodyText"/>
              <w:jc w:val="center"/>
            </w:pPr>
            <w:r>
              <w:t>37.5%</w:t>
            </w:r>
          </w:p>
        </w:tc>
      </w:tr>
      <w:tr w:rsidR="00F553DB" w14:paraId="1CC5AEA7" w14:textId="77777777" w:rsidTr="00F553DB">
        <w:tc>
          <w:tcPr>
            <w:tcW w:w="2580" w:type="dxa"/>
            <w:tcBorders>
              <w:right w:val="nil"/>
            </w:tcBorders>
          </w:tcPr>
          <w:p w14:paraId="61DF5F8D" w14:textId="636EDA34" w:rsidR="00F553DB" w:rsidRPr="00F553DB" w:rsidRDefault="00F553DB" w:rsidP="002329DC">
            <w:pPr>
              <w:pStyle w:val="BodyText"/>
              <w:jc w:val="center"/>
              <w:rPr>
                <w:b/>
                <w:bCs/>
              </w:rPr>
            </w:pPr>
            <w:r>
              <w:rPr>
                <w:b/>
                <w:bCs/>
              </w:rPr>
              <w:t>total</w:t>
            </w:r>
          </w:p>
        </w:tc>
        <w:tc>
          <w:tcPr>
            <w:tcW w:w="2630" w:type="dxa"/>
            <w:tcBorders>
              <w:left w:val="nil"/>
              <w:right w:val="nil"/>
            </w:tcBorders>
          </w:tcPr>
          <w:p w14:paraId="5161906B" w14:textId="1E76F016" w:rsidR="00F553DB" w:rsidRPr="00F553DB" w:rsidRDefault="00F553DB" w:rsidP="002329DC">
            <w:pPr>
              <w:pStyle w:val="BodyText"/>
              <w:jc w:val="center"/>
              <w:rPr>
                <w:b/>
                <w:bCs/>
              </w:rPr>
            </w:pPr>
            <w:r>
              <w:rPr>
                <w:b/>
                <w:bCs/>
              </w:rPr>
              <w:t>48</w:t>
            </w:r>
          </w:p>
        </w:tc>
        <w:tc>
          <w:tcPr>
            <w:tcW w:w="2620" w:type="dxa"/>
            <w:tcBorders>
              <w:left w:val="nil"/>
            </w:tcBorders>
          </w:tcPr>
          <w:p w14:paraId="26EE3DCD" w14:textId="73BC012B" w:rsidR="00F553DB" w:rsidRPr="00F553DB" w:rsidRDefault="00F553DB" w:rsidP="002329DC">
            <w:pPr>
              <w:pStyle w:val="BodyText"/>
              <w:jc w:val="center"/>
              <w:rPr>
                <w:b/>
                <w:bCs/>
              </w:rPr>
            </w:pPr>
            <w:r>
              <w:rPr>
                <w:b/>
                <w:bCs/>
              </w:rPr>
              <w:t>100.0%</w:t>
            </w:r>
          </w:p>
        </w:tc>
      </w:tr>
    </w:tbl>
    <w:p w14:paraId="2621D62F" w14:textId="77777777" w:rsidR="00325339" w:rsidRDefault="00325339" w:rsidP="00F553DB">
      <w:pPr>
        <w:pStyle w:val="BodyText"/>
        <w:spacing w:line="360" w:lineRule="auto"/>
        <w:ind w:left="1530"/>
        <w:jc w:val="both"/>
      </w:pPr>
    </w:p>
    <w:p w14:paraId="70C2D435" w14:textId="77777777" w:rsidR="00B62D91" w:rsidRPr="00B62D91" w:rsidRDefault="00F553DB" w:rsidP="00B62D91">
      <w:pPr>
        <w:pStyle w:val="BodyText"/>
        <w:spacing w:line="360" w:lineRule="auto"/>
        <w:ind w:left="1530"/>
        <w:jc w:val="both"/>
        <w:rPr>
          <w:lang w:val="en-US"/>
        </w:rPr>
      </w:pPr>
      <w:r w:rsidRPr="00F553DB">
        <w:t>Berdasarkan tabel</w:t>
      </w:r>
      <w:r>
        <w:t xml:space="preserve"> 4.4 </w:t>
      </w:r>
      <w:r w:rsidRPr="00F553DB">
        <w:t xml:space="preserve">, </w:t>
      </w:r>
      <w:r w:rsidR="00B62D91" w:rsidRPr="00B62D91">
        <w:rPr>
          <w:lang w:val="en-US"/>
        </w:rPr>
        <w:t xml:space="preserve">Sebagian </w:t>
      </w:r>
      <w:proofErr w:type="spellStart"/>
      <w:r w:rsidR="00B62D91" w:rsidRPr="00B62D91">
        <w:rPr>
          <w:lang w:val="en-US"/>
        </w:rPr>
        <w:t>besar</w:t>
      </w:r>
      <w:proofErr w:type="spellEnd"/>
      <w:r w:rsidR="00B62D91" w:rsidRPr="00B62D91">
        <w:rPr>
          <w:lang w:val="en-US"/>
        </w:rPr>
        <w:t xml:space="preserve"> </w:t>
      </w:r>
      <w:proofErr w:type="spellStart"/>
      <w:r w:rsidR="00B62D91" w:rsidRPr="00B62D91">
        <w:rPr>
          <w:lang w:val="en-US"/>
        </w:rPr>
        <w:t>responden</w:t>
      </w:r>
      <w:proofErr w:type="spellEnd"/>
      <w:r w:rsidR="00B62D91" w:rsidRPr="00B62D91">
        <w:rPr>
          <w:lang w:val="en-US"/>
        </w:rPr>
        <w:t xml:space="preserve"> </w:t>
      </w:r>
      <w:proofErr w:type="spellStart"/>
      <w:r w:rsidR="00B62D91" w:rsidRPr="00B62D91">
        <w:rPr>
          <w:lang w:val="en-US"/>
        </w:rPr>
        <w:t>bekerja</w:t>
      </w:r>
      <w:proofErr w:type="spellEnd"/>
      <w:r w:rsidR="00B62D91" w:rsidRPr="00B62D91">
        <w:rPr>
          <w:lang w:val="en-US"/>
        </w:rPr>
        <w:t xml:space="preserve"> (62,5%), </w:t>
      </w:r>
      <w:proofErr w:type="spellStart"/>
      <w:r w:rsidR="00B62D91" w:rsidRPr="00B62D91">
        <w:rPr>
          <w:lang w:val="en-US"/>
        </w:rPr>
        <w:t>sedangkan</w:t>
      </w:r>
      <w:proofErr w:type="spellEnd"/>
      <w:r w:rsidR="00B62D91" w:rsidRPr="00B62D91">
        <w:rPr>
          <w:lang w:val="en-US"/>
        </w:rPr>
        <w:t xml:space="preserve"> yang </w:t>
      </w:r>
      <w:proofErr w:type="spellStart"/>
      <w:r w:rsidR="00B62D91" w:rsidRPr="00B62D91">
        <w:rPr>
          <w:lang w:val="en-US"/>
        </w:rPr>
        <w:t>tidak</w:t>
      </w:r>
      <w:proofErr w:type="spellEnd"/>
      <w:r w:rsidR="00B62D91" w:rsidRPr="00B62D91">
        <w:rPr>
          <w:lang w:val="en-US"/>
        </w:rPr>
        <w:t xml:space="preserve"> </w:t>
      </w:r>
      <w:proofErr w:type="spellStart"/>
      <w:r w:rsidR="00B62D91" w:rsidRPr="00B62D91">
        <w:rPr>
          <w:lang w:val="en-US"/>
        </w:rPr>
        <w:t>bekerja</w:t>
      </w:r>
      <w:proofErr w:type="spellEnd"/>
      <w:r w:rsidR="00B62D91" w:rsidRPr="00B62D91">
        <w:rPr>
          <w:lang w:val="en-US"/>
        </w:rPr>
        <w:t xml:space="preserve"> </w:t>
      </w:r>
      <w:proofErr w:type="spellStart"/>
      <w:r w:rsidR="00B62D91" w:rsidRPr="00B62D91">
        <w:rPr>
          <w:lang w:val="en-US"/>
        </w:rPr>
        <w:t>sebesar</w:t>
      </w:r>
      <w:proofErr w:type="spellEnd"/>
      <w:r w:rsidR="00B62D91" w:rsidRPr="00B62D91">
        <w:rPr>
          <w:lang w:val="en-US"/>
        </w:rPr>
        <w:t xml:space="preserve"> 37,5%. Status </w:t>
      </w:r>
      <w:proofErr w:type="spellStart"/>
      <w:r w:rsidR="00B62D91" w:rsidRPr="00B62D91">
        <w:rPr>
          <w:lang w:val="en-US"/>
        </w:rPr>
        <w:t>pekerjaan</w:t>
      </w:r>
      <w:proofErr w:type="spellEnd"/>
      <w:r w:rsidR="00B62D91" w:rsidRPr="00B62D91">
        <w:rPr>
          <w:lang w:val="en-US"/>
        </w:rPr>
        <w:t xml:space="preserve"> </w:t>
      </w:r>
      <w:proofErr w:type="spellStart"/>
      <w:r w:rsidR="00B62D91" w:rsidRPr="00B62D91">
        <w:rPr>
          <w:lang w:val="en-US"/>
        </w:rPr>
        <w:t>berhubungan</w:t>
      </w:r>
      <w:proofErr w:type="spellEnd"/>
      <w:r w:rsidR="00B62D91" w:rsidRPr="00B62D91">
        <w:rPr>
          <w:lang w:val="en-US"/>
        </w:rPr>
        <w:t xml:space="preserve"> </w:t>
      </w:r>
      <w:proofErr w:type="spellStart"/>
      <w:r w:rsidR="00B62D91" w:rsidRPr="00B62D91">
        <w:rPr>
          <w:lang w:val="en-US"/>
        </w:rPr>
        <w:t>dengan</w:t>
      </w:r>
      <w:proofErr w:type="spellEnd"/>
      <w:r w:rsidR="00B62D91" w:rsidRPr="00B62D91">
        <w:rPr>
          <w:lang w:val="en-US"/>
        </w:rPr>
        <w:t xml:space="preserve"> </w:t>
      </w:r>
      <w:proofErr w:type="spellStart"/>
      <w:r w:rsidR="00B62D91" w:rsidRPr="00B62D91">
        <w:rPr>
          <w:lang w:val="en-US"/>
        </w:rPr>
        <w:t>kondisi</w:t>
      </w:r>
      <w:proofErr w:type="spellEnd"/>
      <w:r w:rsidR="00B62D91" w:rsidRPr="00B62D91">
        <w:rPr>
          <w:lang w:val="en-US"/>
        </w:rPr>
        <w:t xml:space="preserve"> </w:t>
      </w:r>
      <w:proofErr w:type="spellStart"/>
      <w:r w:rsidR="00B62D91" w:rsidRPr="00B62D91">
        <w:rPr>
          <w:lang w:val="en-US"/>
        </w:rPr>
        <w:t>ekonomi</w:t>
      </w:r>
      <w:proofErr w:type="spellEnd"/>
      <w:r w:rsidR="00B62D91" w:rsidRPr="00B62D91">
        <w:rPr>
          <w:lang w:val="en-US"/>
        </w:rPr>
        <w:t xml:space="preserve"> yang </w:t>
      </w:r>
      <w:proofErr w:type="spellStart"/>
      <w:r w:rsidR="00B62D91" w:rsidRPr="00B62D91">
        <w:rPr>
          <w:lang w:val="en-US"/>
        </w:rPr>
        <w:t>dapat</w:t>
      </w:r>
      <w:proofErr w:type="spellEnd"/>
      <w:r w:rsidR="00B62D91" w:rsidRPr="00B62D91">
        <w:rPr>
          <w:lang w:val="en-US"/>
        </w:rPr>
        <w:t xml:space="preserve"> </w:t>
      </w:r>
      <w:proofErr w:type="spellStart"/>
      <w:r w:rsidR="00B62D91" w:rsidRPr="00B62D91">
        <w:rPr>
          <w:lang w:val="en-US"/>
        </w:rPr>
        <w:t>memengaruhi</w:t>
      </w:r>
      <w:proofErr w:type="spellEnd"/>
      <w:r w:rsidR="00B62D91" w:rsidRPr="00B62D91">
        <w:rPr>
          <w:lang w:val="en-US"/>
        </w:rPr>
        <w:t xml:space="preserve"> </w:t>
      </w:r>
      <w:proofErr w:type="spellStart"/>
      <w:r w:rsidR="00B62D91" w:rsidRPr="00B62D91">
        <w:rPr>
          <w:lang w:val="en-US"/>
        </w:rPr>
        <w:t>akses</w:t>
      </w:r>
      <w:proofErr w:type="spellEnd"/>
      <w:r w:rsidR="00B62D91" w:rsidRPr="00B62D91">
        <w:rPr>
          <w:lang w:val="en-US"/>
        </w:rPr>
        <w:t xml:space="preserve"> </w:t>
      </w:r>
      <w:proofErr w:type="spellStart"/>
      <w:r w:rsidR="00B62D91" w:rsidRPr="00B62D91">
        <w:rPr>
          <w:lang w:val="en-US"/>
        </w:rPr>
        <w:t>terhadap</w:t>
      </w:r>
      <w:proofErr w:type="spellEnd"/>
      <w:r w:rsidR="00B62D91" w:rsidRPr="00B62D91">
        <w:rPr>
          <w:lang w:val="en-US"/>
        </w:rPr>
        <w:t xml:space="preserve"> </w:t>
      </w:r>
      <w:proofErr w:type="spellStart"/>
      <w:r w:rsidR="00B62D91" w:rsidRPr="00B62D91">
        <w:rPr>
          <w:lang w:val="en-US"/>
        </w:rPr>
        <w:t>layanan</w:t>
      </w:r>
      <w:proofErr w:type="spellEnd"/>
      <w:r w:rsidR="00B62D91" w:rsidRPr="00B62D91">
        <w:rPr>
          <w:lang w:val="en-US"/>
        </w:rPr>
        <w:t xml:space="preserve"> </w:t>
      </w:r>
      <w:proofErr w:type="spellStart"/>
      <w:r w:rsidR="00B62D91" w:rsidRPr="00B62D91">
        <w:rPr>
          <w:lang w:val="en-US"/>
        </w:rPr>
        <w:t>kesehatan</w:t>
      </w:r>
      <w:proofErr w:type="spellEnd"/>
      <w:r w:rsidR="00B62D91" w:rsidRPr="00B62D91">
        <w:rPr>
          <w:lang w:val="en-US"/>
        </w:rPr>
        <w:t xml:space="preserve">, </w:t>
      </w:r>
      <w:proofErr w:type="spellStart"/>
      <w:r w:rsidR="00B62D91" w:rsidRPr="00B62D91">
        <w:rPr>
          <w:lang w:val="en-US"/>
        </w:rPr>
        <w:t>aktivitas</w:t>
      </w:r>
      <w:proofErr w:type="spellEnd"/>
      <w:r w:rsidR="00B62D91" w:rsidRPr="00B62D91">
        <w:rPr>
          <w:lang w:val="en-US"/>
        </w:rPr>
        <w:t xml:space="preserve"> </w:t>
      </w:r>
      <w:proofErr w:type="spellStart"/>
      <w:r w:rsidR="00B62D91" w:rsidRPr="00B62D91">
        <w:rPr>
          <w:lang w:val="en-US"/>
        </w:rPr>
        <w:t>fisik</w:t>
      </w:r>
      <w:proofErr w:type="spellEnd"/>
      <w:r w:rsidR="00B62D91" w:rsidRPr="00B62D91">
        <w:rPr>
          <w:lang w:val="en-US"/>
        </w:rPr>
        <w:t xml:space="preserve">, </w:t>
      </w:r>
      <w:proofErr w:type="spellStart"/>
      <w:r w:rsidR="00B62D91" w:rsidRPr="00B62D91">
        <w:rPr>
          <w:lang w:val="en-US"/>
        </w:rPr>
        <w:t>serta</w:t>
      </w:r>
      <w:proofErr w:type="spellEnd"/>
      <w:r w:rsidR="00B62D91" w:rsidRPr="00B62D91">
        <w:rPr>
          <w:lang w:val="en-US"/>
        </w:rPr>
        <w:t xml:space="preserve"> </w:t>
      </w:r>
      <w:proofErr w:type="spellStart"/>
      <w:r w:rsidR="00B62D91" w:rsidRPr="00B62D91">
        <w:rPr>
          <w:lang w:val="en-US"/>
        </w:rPr>
        <w:t>kemampuan</w:t>
      </w:r>
      <w:proofErr w:type="spellEnd"/>
      <w:r w:rsidR="00B62D91" w:rsidRPr="00B62D91">
        <w:rPr>
          <w:lang w:val="en-US"/>
        </w:rPr>
        <w:t xml:space="preserve"> </w:t>
      </w:r>
      <w:proofErr w:type="spellStart"/>
      <w:r w:rsidR="00B62D91" w:rsidRPr="00B62D91">
        <w:rPr>
          <w:lang w:val="en-US"/>
        </w:rPr>
        <w:t>membiayai</w:t>
      </w:r>
      <w:proofErr w:type="spellEnd"/>
      <w:r w:rsidR="00B62D91" w:rsidRPr="00B62D91">
        <w:rPr>
          <w:lang w:val="en-US"/>
        </w:rPr>
        <w:t xml:space="preserve"> </w:t>
      </w:r>
      <w:proofErr w:type="spellStart"/>
      <w:r w:rsidR="00B62D91" w:rsidRPr="00B62D91">
        <w:rPr>
          <w:lang w:val="en-US"/>
        </w:rPr>
        <w:t>terapi</w:t>
      </w:r>
      <w:proofErr w:type="spellEnd"/>
      <w:r w:rsidR="00B62D91" w:rsidRPr="00B62D91">
        <w:rPr>
          <w:lang w:val="en-US"/>
        </w:rPr>
        <w:t>.</w:t>
      </w:r>
    </w:p>
    <w:p w14:paraId="6118F529" w14:textId="3673793E" w:rsidR="00F553DB" w:rsidRDefault="00F553DB" w:rsidP="00B62D91">
      <w:pPr>
        <w:pStyle w:val="BodyText"/>
        <w:numPr>
          <w:ilvl w:val="0"/>
          <w:numId w:val="3"/>
        </w:numPr>
        <w:spacing w:line="360" w:lineRule="auto"/>
        <w:jc w:val="both"/>
      </w:pPr>
      <w:r>
        <w:t>Agama</w:t>
      </w:r>
    </w:p>
    <w:p w14:paraId="22BB4C72" w14:textId="1394D5E6" w:rsidR="00F553DB" w:rsidRDefault="00F553DB" w:rsidP="00F553DB">
      <w:pPr>
        <w:pStyle w:val="BodyText"/>
        <w:spacing w:line="360" w:lineRule="auto"/>
        <w:ind w:left="1530"/>
        <w:jc w:val="center"/>
      </w:pPr>
      <w:r>
        <w:t>Distribusi frekuensi dan presentase berdasarkan agama</w:t>
      </w:r>
    </w:p>
    <w:tbl>
      <w:tblPr>
        <w:tblStyle w:val="TableGrid"/>
        <w:tblW w:w="0" w:type="auto"/>
        <w:tblInd w:w="1530" w:type="dxa"/>
        <w:tblBorders>
          <w:left w:val="none" w:sz="0" w:space="0" w:color="auto"/>
          <w:right w:val="none" w:sz="0" w:space="0" w:color="auto"/>
        </w:tblBorders>
        <w:tblLook w:val="04A0" w:firstRow="1" w:lastRow="0" w:firstColumn="1" w:lastColumn="0" w:noHBand="0" w:noVBand="1"/>
      </w:tblPr>
      <w:tblGrid>
        <w:gridCol w:w="2235"/>
        <w:gridCol w:w="2741"/>
        <w:gridCol w:w="2521"/>
      </w:tblGrid>
      <w:tr w:rsidR="00992062" w14:paraId="4C0FA1E0" w14:textId="77777777" w:rsidTr="00992062">
        <w:tc>
          <w:tcPr>
            <w:tcW w:w="2340" w:type="dxa"/>
            <w:tcBorders>
              <w:bottom w:val="single" w:sz="4" w:space="0" w:color="auto"/>
              <w:right w:val="nil"/>
            </w:tcBorders>
          </w:tcPr>
          <w:p w14:paraId="59A58C9A" w14:textId="77777777" w:rsidR="00F553DB" w:rsidRDefault="00F553DB" w:rsidP="002329DC">
            <w:pPr>
              <w:pStyle w:val="BodyText"/>
              <w:jc w:val="center"/>
            </w:pPr>
          </w:p>
        </w:tc>
        <w:tc>
          <w:tcPr>
            <w:tcW w:w="2862" w:type="dxa"/>
            <w:tcBorders>
              <w:left w:val="nil"/>
              <w:bottom w:val="single" w:sz="4" w:space="0" w:color="auto"/>
              <w:right w:val="nil"/>
            </w:tcBorders>
          </w:tcPr>
          <w:p w14:paraId="3F0FC37E" w14:textId="6A68C9EF" w:rsidR="00F553DB" w:rsidRDefault="00F553DB" w:rsidP="002329DC">
            <w:pPr>
              <w:pStyle w:val="BodyText"/>
              <w:jc w:val="center"/>
            </w:pPr>
            <w:r>
              <w:t>Frekuensi</w:t>
            </w:r>
          </w:p>
        </w:tc>
        <w:tc>
          <w:tcPr>
            <w:tcW w:w="2628" w:type="dxa"/>
            <w:tcBorders>
              <w:left w:val="nil"/>
              <w:bottom w:val="single" w:sz="4" w:space="0" w:color="auto"/>
            </w:tcBorders>
          </w:tcPr>
          <w:p w14:paraId="5ACB808E" w14:textId="46D47B10" w:rsidR="00F553DB" w:rsidRDefault="00F553DB" w:rsidP="002329DC">
            <w:pPr>
              <w:pStyle w:val="BodyText"/>
              <w:jc w:val="center"/>
            </w:pPr>
            <w:r>
              <w:t>Persent%</w:t>
            </w:r>
          </w:p>
        </w:tc>
      </w:tr>
      <w:tr w:rsidR="00992062" w14:paraId="46EEFFE6" w14:textId="77777777" w:rsidTr="00992062">
        <w:tc>
          <w:tcPr>
            <w:tcW w:w="2340" w:type="dxa"/>
            <w:tcBorders>
              <w:bottom w:val="nil"/>
              <w:right w:val="nil"/>
            </w:tcBorders>
          </w:tcPr>
          <w:p w14:paraId="0EC1E37F" w14:textId="320D4348" w:rsidR="00F553DB" w:rsidRDefault="00F553DB" w:rsidP="002329DC">
            <w:pPr>
              <w:pStyle w:val="BodyText"/>
              <w:jc w:val="center"/>
            </w:pPr>
            <w:r>
              <w:t>kristen</w:t>
            </w:r>
          </w:p>
        </w:tc>
        <w:tc>
          <w:tcPr>
            <w:tcW w:w="2862" w:type="dxa"/>
            <w:tcBorders>
              <w:left w:val="nil"/>
              <w:bottom w:val="nil"/>
              <w:right w:val="nil"/>
            </w:tcBorders>
          </w:tcPr>
          <w:p w14:paraId="3F413FCD" w14:textId="31386340" w:rsidR="00F553DB" w:rsidRDefault="00F553DB" w:rsidP="002329DC">
            <w:pPr>
              <w:pStyle w:val="BodyText"/>
              <w:jc w:val="center"/>
            </w:pPr>
            <w:r>
              <w:t>6</w:t>
            </w:r>
          </w:p>
        </w:tc>
        <w:tc>
          <w:tcPr>
            <w:tcW w:w="2628" w:type="dxa"/>
            <w:tcBorders>
              <w:left w:val="nil"/>
              <w:bottom w:val="nil"/>
            </w:tcBorders>
          </w:tcPr>
          <w:p w14:paraId="45396BF2" w14:textId="3DB1B0B9" w:rsidR="00F553DB" w:rsidRDefault="00F553DB" w:rsidP="002329DC">
            <w:pPr>
              <w:pStyle w:val="BodyText"/>
              <w:jc w:val="center"/>
            </w:pPr>
            <w:r>
              <w:t>12.5%</w:t>
            </w:r>
          </w:p>
        </w:tc>
      </w:tr>
      <w:tr w:rsidR="00992062" w14:paraId="5825A4C3" w14:textId="77777777" w:rsidTr="00992062">
        <w:tc>
          <w:tcPr>
            <w:tcW w:w="2340" w:type="dxa"/>
            <w:tcBorders>
              <w:top w:val="nil"/>
              <w:right w:val="nil"/>
            </w:tcBorders>
          </w:tcPr>
          <w:p w14:paraId="59DC045A" w14:textId="56F7F1CB" w:rsidR="00F553DB" w:rsidRDefault="00F553DB" w:rsidP="002329DC">
            <w:pPr>
              <w:pStyle w:val="BodyText"/>
              <w:jc w:val="center"/>
            </w:pPr>
            <w:r>
              <w:t>islam</w:t>
            </w:r>
          </w:p>
        </w:tc>
        <w:tc>
          <w:tcPr>
            <w:tcW w:w="2862" w:type="dxa"/>
            <w:tcBorders>
              <w:top w:val="nil"/>
              <w:left w:val="nil"/>
              <w:right w:val="nil"/>
            </w:tcBorders>
          </w:tcPr>
          <w:p w14:paraId="689FDCD1" w14:textId="692399FE" w:rsidR="00F553DB" w:rsidRDefault="00F553DB" w:rsidP="002329DC">
            <w:pPr>
              <w:pStyle w:val="BodyText"/>
              <w:jc w:val="center"/>
            </w:pPr>
            <w:r>
              <w:t>42</w:t>
            </w:r>
          </w:p>
        </w:tc>
        <w:tc>
          <w:tcPr>
            <w:tcW w:w="2628" w:type="dxa"/>
            <w:tcBorders>
              <w:top w:val="nil"/>
              <w:left w:val="nil"/>
            </w:tcBorders>
          </w:tcPr>
          <w:p w14:paraId="57E71BE2" w14:textId="2030057B" w:rsidR="00F553DB" w:rsidRDefault="00F553DB" w:rsidP="002329DC">
            <w:pPr>
              <w:pStyle w:val="BodyText"/>
              <w:jc w:val="center"/>
            </w:pPr>
            <w:r>
              <w:t>87.5%</w:t>
            </w:r>
          </w:p>
        </w:tc>
      </w:tr>
      <w:tr w:rsidR="00992062" w14:paraId="6CF1454F" w14:textId="77777777" w:rsidTr="00992062">
        <w:tc>
          <w:tcPr>
            <w:tcW w:w="2340" w:type="dxa"/>
            <w:tcBorders>
              <w:right w:val="nil"/>
            </w:tcBorders>
          </w:tcPr>
          <w:p w14:paraId="372EA9C0" w14:textId="05DA1EAF" w:rsidR="00F553DB" w:rsidRPr="00F553DB" w:rsidRDefault="00F553DB" w:rsidP="002329DC">
            <w:pPr>
              <w:pStyle w:val="BodyText"/>
              <w:jc w:val="center"/>
              <w:rPr>
                <w:b/>
                <w:bCs/>
              </w:rPr>
            </w:pPr>
            <w:r>
              <w:rPr>
                <w:b/>
                <w:bCs/>
              </w:rPr>
              <w:t>total</w:t>
            </w:r>
          </w:p>
        </w:tc>
        <w:tc>
          <w:tcPr>
            <w:tcW w:w="2862" w:type="dxa"/>
            <w:tcBorders>
              <w:left w:val="nil"/>
              <w:right w:val="nil"/>
            </w:tcBorders>
          </w:tcPr>
          <w:p w14:paraId="14330D95" w14:textId="0A986627" w:rsidR="00F553DB" w:rsidRPr="00F553DB" w:rsidRDefault="00F553DB" w:rsidP="002329DC">
            <w:pPr>
              <w:pStyle w:val="BodyText"/>
              <w:jc w:val="center"/>
              <w:rPr>
                <w:b/>
                <w:bCs/>
              </w:rPr>
            </w:pPr>
            <w:r>
              <w:rPr>
                <w:b/>
                <w:bCs/>
              </w:rPr>
              <w:t>48</w:t>
            </w:r>
          </w:p>
        </w:tc>
        <w:tc>
          <w:tcPr>
            <w:tcW w:w="2628" w:type="dxa"/>
            <w:tcBorders>
              <w:left w:val="nil"/>
            </w:tcBorders>
          </w:tcPr>
          <w:p w14:paraId="059CD703" w14:textId="04D9796B" w:rsidR="00F553DB" w:rsidRPr="00F553DB" w:rsidRDefault="00F553DB" w:rsidP="002329DC">
            <w:pPr>
              <w:pStyle w:val="BodyText"/>
              <w:jc w:val="center"/>
              <w:rPr>
                <w:b/>
                <w:bCs/>
              </w:rPr>
            </w:pPr>
            <w:r>
              <w:rPr>
                <w:b/>
                <w:bCs/>
              </w:rPr>
              <w:t>100.0%</w:t>
            </w:r>
          </w:p>
        </w:tc>
      </w:tr>
    </w:tbl>
    <w:p w14:paraId="1FAFFA4F" w14:textId="77777777" w:rsidR="00B62D91" w:rsidRPr="00B62D91" w:rsidRDefault="00A43AF9" w:rsidP="00B62D91">
      <w:pPr>
        <w:pStyle w:val="BodyText"/>
        <w:spacing w:line="360" w:lineRule="auto"/>
        <w:ind w:left="1530"/>
        <w:jc w:val="both"/>
        <w:rPr>
          <w:lang w:val="en-US"/>
        </w:rPr>
      </w:pPr>
      <w:r w:rsidRPr="00A43AF9">
        <w:t>Berdasarkan tabel</w:t>
      </w:r>
      <w:r>
        <w:t xml:space="preserve"> 4.5</w:t>
      </w:r>
      <w:r w:rsidRPr="00A43AF9">
        <w:t xml:space="preserve">, </w:t>
      </w:r>
      <w:proofErr w:type="spellStart"/>
      <w:r w:rsidR="00B62D91" w:rsidRPr="00B62D91">
        <w:rPr>
          <w:lang w:val="en-US"/>
        </w:rPr>
        <w:t>Mayoritas</w:t>
      </w:r>
      <w:proofErr w:type="spellEnd"/>
      <w:r w:rsidR="00B62D91" w:rsidRPr="00B62D91">
        <w:rPr>
          <w:lang w:val="en-US"/>
        </w:rPr>
        <w:t xml:space="preserve"> </w:t>
      </w:r>
      <w:proofErr w:type="spellStart"/>
      <w:r w:rsidR="00B62D91" w:rsidRPr="00B62D91">
        <w:rPr>
          <w:lang w:val="en-US"/>
        </w:rPr>
        <w:t>responden</w:t>
      </w:r>
      <w:proofErr w:type="spellEnd"/>
      <w:r w:rsidR="00B62D91" w:rsidRPr="00B62D91">
        <w:rPr>
          <w:lang w:val="en-US"/>
        </w:rPr>
        <w:t xml:space="preserve"> </w:t>
      </w:r>
      <w:proofErr w:type="spellStart"/>
      <w:r w:rsidR="00B62D91" w:rsidRPr="00B62D91">
        <w:rPr>
          <w:lang w:val="en-US"/>
        </w:rPr>
        <w:t>beragama</w:t>
      </w:r>
      <w:proofErr w:type="spellEnd"/>
      <w:r w:rsidR="00B62D91" w:rsidRPr="00B62D91">
        <w:rPr>
          <w:lang w:val="en-US"/>
        </w:rPr>
        <w:t xml:space="preserve"> Islam (87,5%), </w:t>
      </w:r>
      <w:proofErr w:type="spellStart"/>
      <w:r w:rsidR="00B62D91" w:rsidRPr="00B62D91">
        <w:rPr>
          <w:lang w:val="en-US"/>
        </w:rPr>
        <w:t>sedangkan</w:t>
      </w:r>
      <w:proofErr w:type="spellEnd"/>
      <w:r w:rsidR="00B62D91" w:rsidRPr="00B62D91">
        <w:rPr>
          <w:lang w:val="en-US"/>
        </w:rPr>
        <w:t xml:space="preserve"> Kristen </w:t>
      </w:r>
      <w:proofErr w:type="spellStart"/>
      <w:r w:rsidR="00B62D91" w:rsidRPr="00B62D91">
        <w:rPr>
          <w:lang w:val="en-US"/>
        </w:rPr>
        <w:t>sebesar</w:t>
      </w:r>
      <w:proofErr w:type="spellEnd"/>
      <w:r w:rsidR="00B62D91" w:rsidRPr="00B62D91">
        <w:rPr>
          <w:lang w:val="en-US"/>
        </w:rPr>
        <w:t xml:space="preserve"> 12,5%. </w:t>
      </w:r>
      <w:proofErr w:type="spellStart"/>
      <w:r w:rsidR="00B62D91" w:rsidRPr="00B62D91">
        <w:rPr>
          <w:lang w:val="en-US"/>
        </w:rPr>
        <w:t>Proporsi</w:t>
      </w:r>
      <w:proofErr w:type="spellEnd"/>
      <w:r w:rsidR="00B62D91" w:rsidRPr="00B62D91">
        <w:rPr>
          <w:lang w:val="en-US"/>
        </w:rPr>
        <w:t xml:space="preserve"> </w:t>
      </w:r>
      <w:proofErr w:type="spellStart"/>
      <w:r w:rsidR="00B62D91" w:rsidRPr="00B62D91">
        <w:rPr>
          <w:lang w:val="en-US"/>
        </w:rPr>
        <w:t>ini</w:t>
      </w:r>
      <w:proofErr w:type="spellEnd"/>
      <w:r w:rsidR="00B62D91" w:rsidRPr="00B62D91">
        <w:rPr>
          <w:lang w:val="en-US"/>
        </w:rPr>
        <w:t xml:space="preserve"> </w:t>
      </w:r>
      <w:proofErr w:type="spellStart"/>
      <w:r w:rsidR="00B62D91" w:rsidRPr="00B62D91">
        <w:rPr>
          <w:lang w:val="en-US"/>
        </w:rPr>
        <w:t>sejalan</w:t>
      </w:r>
      <w:proofErr w:type="spellEnd"/>
      <w:r w:rsidR="00B62D91" w:rsidRPr="00B62D91">
        <w:rPr>
          <w:lang w:val="en-US"/>
        </w:rPr>
        <w:t xml:space="preserve"> </w:t>
      </w:r>
      <w:proofErr w:type="spellStart"/>
      <w:r w:rsidR="00B62D91" w:rsidRPr="00B62D91">
        <w:rPr>
          <w:lang w:val="en-US"/>
        </w:rPr>
        <w:t>dengan</w:t>
      </w:r>
      <w:proofErr w:type="spellEnd"/>
      <w:r w:rsidR="00B62D91" w:rsidRPr="00B62D91">
        <w:rPr>
          <w:lang w:val="en-US"/>
        </w:rPr>
        <w:t xml:space="preserve"> </w:t>
      </w:r>
      <w:proofErr w:type="spellStart"/>
      <w:r w:rsidR="00B62D91" w:rsidRPr="00B62D91">
        <w:rPr>
          <w:lang w:val="en-US"/>
        </w:rPr>
        <w:t>demografi</w:t>
      </w:r>
      <w:proofErr w:type="spellEnd"/>
      <w:r w:rsidR="00B62D91" w:rsidRPr="00B62D91">
        <w:rPr>
          <w:lang w:val="en-US"/>
        </w:rPr>
        <w:t xml:space="preserve"> </w:t>
      </w:r>
      <w:proofErr w:type="spellStart"/>
      <w:r w:rsidR="00B62D91" w:rsidRPr="00B62D91">
        <w:rPr>
          <w:lang w:val="en-US"/>
        </w:rPr>
        <w:t>masyarakat</w:t>
      </w:r>
      <w:proofErr w:type="spellEnd"/>
      <w:r w:rsidR="00B62D91" w:rsidRPr="00B62D91">
        <w:rPr>
          <w:lang w:val="en-US"/>
        </w:rPr>
        <w:t xml:space="preserve"> </w:t>
      </w:r>
      <w:proofErr w:type="spellStart"/>
      <w:r w:rsidR="00B62D91" w:rsidRPr="00B62D91">
        <w:rPr>
          <w:lang w:val="en-US"/>
        </w:rPr>
        <w:t>Rembang</w:t>
      </w:r>
      <w:proofErr w:type="spellEnd"/>
      <w:r w:rsidR="00B62D91" w:rsidRPr="00B62D91">
        <w:rPr>
          <w:lang w:val="en-US"/>
        </w:rPr>
        <w:t xml:space="preserve"> yang </w:t>
      </w:r>
      <w:proofErr w:type="spellStart"/>
      <w:r w:rsidR="00B62D91" w:rsidRPr="00B62D91">
        <w:rPr>
          <w:lang w:val="en-US"/>
        </w:rPr>
        <w:t>didominasi</w:t>
      </w:r>
      <w:proofErr w:type="spellEnd"/>
      <w:r w:rsidR="00B62D91" w:rsidRPr="00B62D91">
        <w:rPr>
          <w:lang w:val="en-US"/>
        </w:rPr>
        <w:t xml:space="preserve"> </w:t>
      </w:r>
      <w:proofErr w:type="spellStart"/>
      <w:r w:rsidR="00B62D91" w:rsidRPr="00B62D91">
        <w:rPr>
          <w:lang w:val="en-US"/>
        </w:rPr>
        <w:t>pemeluk</w:t>
      </w:r>
      <w:proofErr w:type="spellEnd"/>
      <w:r w:rsidR="00B62D91" w:rsidRPr="00B62D91">
        <w:rPr>
          <w:lang w:val="en-US"/>
        </w:rPr>
        <w:t xml:space="preserve"> agama Islam. </w:t>
      </w:r>
      <w:proofErr w:type="spellStart"/>
      <w:r w:rsidR="00B62D91" w:rsidRPr="00B62D91">
        <w:rPr>
          <w:lang w:val="en-US"/>
        </w:rPr>
        <w:t>Keyakinan</w:t>
      </w:r>
      <w:proofErr w:type="spellEnd"/>
      <w:r w:rsidR="00B62D91" w:rsidRPr="00B62D91">
        <w:rPr>
          <w:lang w:val="en-US"/>
        </w:rPr>
        <w:t xml:space="preserve"> </w:t>
      </w:r>
      <w:proofErr w:type="spellStart"/>
      <w:r w:rsidR="00B62D91" w:rsidRPr="00B62D91">
        <w:rPr>
          <w:lang w:val="en-US"/>
        </w:rPr>
        <w:t>religius</w:t>
      </w:r>
      <w:proofErr w:type="spellEnd"/>
      <w:r w:rsidR="00B62D91" w:rsidRPr="00B62D91">
        <w:rPr>
          <w:lang w:val="en-US"/>
        </w:rPr>
        <w:t xml:space="preserve"> </w:t>
      </w:r>
      <w:proofErr w:type="spellStart"/>
      <w:r w:rsidR="00B62D91" w:rsidRPr="00B62D91">
        <w:rPr>
          <w:lang w:val="en-US"/>
        </w:rPr>
        <w:t>dapat</w:t>
      </w:r>
      <w:proofErr w:type="spellEnd"/>
      <w:r w:rsidR="00B62D91" w:rsidRPr="00B62D91">
        <w:rPr>
          <w:lang w:val="en-US"/>
        </w:rPr>
        <w:t xml:space="preserve"> </w:t>
      </w:r>
      <w:proofErr w:type="spellStart"/>
      <w:r w:rsidR="00B62D91" w:rsidRPr="00B62D91">
        <w:rPr>
          <w:lang w:val="en-US"/>
        </w:rPr>
        <w:t>berperan</w:t>
      </w:r>
      <w:proofErr w:type="spellEnd"/>
      <w:r w:rsidR="00B62D91" w:rsidRPr="00B62D91">
        <w:rPr>
          <w:lang w:val="en-US"/>
        </w:rPr>
        <w:t xml:space="preserve"> </w:t>
      </w:r>
      <w:proofErr w:type="spellStart"/>
      <w:r w:rsidR="00B62D91" w:rsidRPr="00B62D91">
        <w:rPr>
          <w:lang w:val="en-US"/>
        </w:rPr>
        <w:t>dalam</w:t>
      </w:r>
      <w:proofErr w:type="spellEnd"/>
      <w:r w:rsidR="00B62D91" w:rsidRPr="00B62D91">
        <w:rPr>
          <w:lang w:val="en-US"/>
        </w:rPr>
        <w:t xml:space="preserve"> </w:t>
      </w:r>
      <w:proofErr w:type="spellStart"/>
      <w:r w:rsidR="00B62D91" w:rsidRPr="00B62D91">
        <w:rPr>
          <w:lang w:val="en-US"/>
        </w:rPr>
        <w:t>perilaku</w:t>
      </w:r>
      <w:proofErr w:type="spellEnd"/>
      <w:r w:rsidR="00B62D91" w:rsidRPr="00B62D91">
        <w:rPr>
          <w:lang w:val="en-US"/>
        </w:rPr>
        <w:t xml:space="preserve"> </w:t>
      </w:r>
      <w:proofErr w:type="spellStart"/>
      <w:r w:rsidR="00B62D91" w:rsidRPr="00B62D91">
        <w:rPr>
          <w:lang w:val="en-US"/>
        </w:rPr>
        <w:t>kesehatan</w:t>
      </w:r>
      <w:proofErr w:type="spellEnd"/>
      <w:r w:rsidR="00B62D91" w:rsidRPr="00B62D91">
        <w:rPr>
          <w:lang w:val="en-US"/>
        </w:rPr>
        <w:t xml:space="preserve"> dan </w:t>
      </w:r>
      <w:proofErr w:type="spellStart"/>
      <w:r w:rsidR="00B62D91" w:rsidRPr="00B62D91">
        <w:rPr>
          <w:lang w:val="en-US"/>
        </w:rPr>
        <w:t>kepatuhan</w:t>
      </w:r>
      <w:proofErr w:type="spellEnd"/>
      <w:r w:rsidR="00B62D91" w:rsidRPr="00B62D91">
        <w:rPr>
          <w:lang w:val="en-US"/>
        </w:rPr>
        <w:t xml:space="preserve"> </w:t>
      </w:r>
      <w:proofErr w:type="spellStart"/>
      <w:r w:rsidR="00B62D91" w:rsidRPr="00B62D91">
        <w:rPr>
          <w:lang w:val="en-US"/>
        </w:rPr>
        <w:t>pasien</w:t>
      </w:r>
      <w:proofErr w:type="spellEnd"/>
      <w:r w:rsidR="00B62D91" w:rsidRPr="00B62D91">
        <w:rPr>
          <w:lang w:val="en-US"/>
        </w:rPr>
        <w:t>.</w:t>
      </w:r>
    </w:p>
    <w:p w14:paraId="0420CC07" w14:textId="77777777" w:rsidR="004D44D2" w:rsidRDefault="004D44D2">
      <w:pPr>
        <w:rPr>
          <w:rFonts w:ascii="Times New Roman" w:eastAsia="Times New Roman" w:hAnsi="Times New Roman" w:cs="Times New Roman"/>
          <w:kern w:val="0"/>
          <w:lang w:val="id"/>
          <w14:ligatures w14:val="none"/>
        </w:rPr>
      </w:pPr>
      <w:r>
        <w:br w:type="page"/>
      </w:r>
    </w:p>
    <w:p w14:paraId="4F3B5EC0" w14:textId="0ED7B3FE" w:rsidR="00A43AF9" w:rsidRDefault="00A43AF9" w:rsidP="00B62D91">
      <w:pPr>
        <w:pStyle w:val="BodyText"/>
        <w:numPr>
          <w:ilvl w:val="0"/>
          <w:numId w:val="3"/>
        </w:numPr>
        <w:spacing w:line="360" w:lineRule="auto"/>
        <w:jc w:val="both"/>
      </w:pPr>
      <w:r>
        <w:lastRenderedPageBreak/>
        <w:t>Pendidikan</w:t>
      </w:r>
    </w:p>
    <w:p w14:paraId="4C585D2A" w14:textId="2D3A2353" w:rsidR="00A43AF9" w:rsidRDefault="00A43AF9" w:rsidP="00A43AF9">
      <w:pPr>
        <w:pStyle w:val="BodyText"/>
        <w:spacing w:line="360" w:lineRule="auto"/>
        <w:ind w:left="1530"/>
        <w:jc w:val="center"/>
      </w:pPr>
      <w:r>
        <w:t>Distribusi frekuensi dan presentase berdasarkan pendidikan</w:t>
      </w:r>
    </w:p>
    <w:tbl>
      <w:tblPr>
        <w:tblStyle w:val="TableGrid"/>
        <w:tblW w:w="0" w:type="auto"/>
        <w:tblInd w:w="1530" w:type="dxa"/>
        <w:tblBorders>
          <w:left w:val="none" w:sz="0" w:space="0" w:color="auto"/>
          <w:right w:val="none" w:sz="0" w:space="0" w:color="auto"/>
        </w:tblBorders>
        <w:tblLook w:val="04A0" w:firstRow="1" w:lastRow="0" w:firstColumn="1" w:lastColumn="0" w:noHBand="0" w:noVBand="1"/>
      </w:tblPr>
      <w:tblGrid>
        <w:gridCol w:w="2423"/>
        <w:gridCol w:w="2543"/>
        <w:gridCol w:w="2531"/>
      </w:tblGrid>
      <w:tr w:rsidR="00A43AF9" w14:paraId="09C7E100" w14:textId="77777777" w:rsidTr="00A43AF9">
        <w:tc>
          <w:tcPr>
            <w:tcW w:w="2548" w:type="dxa"/>
            <w:tcBorders>
              <w:bottom w:val="single" w:sz="4" w:space="0" w:color="auto"/>
              <w:right w:val="nil"/>
            </w:tcBorders>
          </w:tcPr>
          <w:p w14:paraId="488430CC" w14:textId="77777777" w:rsidR="00A43AF9" w:rsidRDefault="00A43AF9" w:rsidP="002329DC">
            <w:pPr>
              <w:pStyle w:val="BodyText"/>
              <w:jc w:val="center"/>
            </w:pPr>
          </w:p>
        </w:tc>
        <w:tc>
          <w:tcPr>
            <w:tcW w:w="2646" w:type="dxa"/>
            <w:tcBorders>
              <w:left w:val="nil"/>
              <w:bottom w:val="single" w:sz="4" w:space="0" w:color="auto"/>
              <w:right w:val="nil"/>
            </w:tcBorders>
          </w:tcPr>
          <w:p w14:paraId="1250E086" w14:textId="7687600F" w:rsidR="00A43AF9" w:rsidRDefault="00A43AF9" w:rsidP="002329DC">
            <w:pPr>
              <w:pStyle w:val="BodyText"/>
              <w:jc w:val="center"/>
            </w:pPr>
            <w:r>
              <w:t>Frekuensi</w:t>
            </w:r>
          </w:p>
        </w:tc>
        <w:tc>
          <w:tcPr>
            <w:tcW w:w="2636" w:type="dxa"/>
            <w:tcBorders>
              <w:left w:val="nil"/>
              <w:bottom w:val="single" w:sz="4" w:space="0" w:color="auto"/>
            </w:tcBorders>
          </w:tcPr>
          <w:p w14:paraId="43C2230F" w14:textId="424A9509" w:rsidR="00A43AF9" w:rsidRDefault="00A43AF9" w:rsidP="002329DC">
            <w:pPr>
              <w:pStyle w:val="BodyText"/>
              <w:jc w:val="center"/>
            </w:pPr>
            <w:r>
              <w:t>Persent%</w:t>
            </w:r>
          </w:p>
        </w:tc>
      </w:tr>
      <w:tr w:rsidR="00A43AF9" w14:paraId="659EBC79" w14:textId="77777777" w:rsidTr="00A43AF9">
        <w:tc>
          <w:tcPr>
            <w:tcW w:w="2548" w:type="dxa"/>
            <w:tcBorders>
              <w:bottom w:val="nil"/>
              <w:right w:val="nil"/>
            </w:tcBorders>
          </w:tcPr>
          <w:p w14:paraId="540F7BB7" w14:textId="2C9A65ED" w:rsidR="00A43AF9" w:rsidRDefault="00A43AF9" w:rsidP="002329DC">
            <w:pPr>
              <w:pStyle w:val="BodyText"/>
              <w:jc w:val="center"/>
            </w:pPr>
            <w:r>
              <w:t>SD</w:t>
            </w:r>
          </w:p>
        </w:tc>
        <w:tc>
          <w:tcPr>
            <w:tcW w:w="2646" w:type="dxa"/>
            <w:tcBorders>
              <w:left w:val="nil"/>
              <w:bottom w:val="nil"/>
              <w:right w:val="nil"/>
            </w:tcBorders>
          </w:tcPr>
          <w:p w14:paraId="7109F697" w14:textId="2260C1CE" w:rsidR="00A43AF9" w:rsidRDefault="00A43AF9" w:rsidP="002329DC">
            <w:pPr>
              <w:pStyle w:val="BodyText"/>
              <w:jc w:val="center"/>
            </w:pPr>
            <w:r>
              <w:t>9</w:t>
            </w:r>
          </w:p>
        </w:tc>
        <w:tc>
          <w:tcPr>
            <w:tcW w:w="2636" w:type="dxa"/>
            <w:tcBorders>
              <w:left w:val="nil"/>
              <w:bottom w:val="nil"/>
            </w:tcBorders>
          </w:tcPr>
          <w:p w14:paraId="2645FA44" w14:textId="759F26D8" w:rsidR="00A43AF9" w:rsidRDefault="00A43AF9" w:rsidP="002329DC">
            <w:pPr>
              <w:pStyle w:val="BodyText"/>
              <w:jc w:val="center"/>
            </w:pPr>
            <w:r>
              <w:t>18.8%</w:t>
            </w:r>
          </w:p>
        </w:tc>
      </w:tr>
      <w:tr w:rsidR="00A43AF9" w14:paraId="4BBA373F" w14:textId="77777777" w:rsidTr="00A43AF9">
        <w:tc>
          <w:tcPr>
            <w:tcW w:w="2548" w:type="dxa"/>
            <w:tcBorders>
              <w:top w:val="nil"/>
              <w:right w:val="nil"/>
            </w:tcBorders>
          </w:tcPr>
          <w:p w14:paraId="15B14986" w14:textId="1E1B0817" w:rsidR="00A43AF9" w:rsidRDefault="00A43AF9" w:rsidP="002329DC">
            <w:pPr>
              <w:pStyle w:val="BodyText"/>
              <w:jc w:val="center"/>
            </w:pPr>
            <w:r>
              <w:t>SMA</w:t>
            </w:r>
          </w:p>
        </w:tc>
        <w:tc>
          <w:tcPr>
            <w:tcW w:w="2646" w:type="dxa"/>
            <w:tcBorders>
              <w:top w:val="nil"/>
              <w:left w:val="nil"/>
              <w:right w:val="nil"/>
            </w:tcBorders>
          </w:tcPr>
          <w:p w14:paraId="4D5E4BCE" w14:textId="6026BE0A" w:rsidR="00A43AF9" w:rsidRDefault="00A43AF9" w:rsidP="002329DC">
            <w:pPr>
              <w:pStyle w:val="BodyText"/>
              <w:jc w:val="center"/>
            </w:pPr>
            <w:r>
              <w:t>39</w:t>
            </w:r>
          </w:p>
        </w:tc>
        <w:tc>
          <w:tcPr>
            <w:tcW w:w="2636" w:type="dxa"/>
            <w:tcBorders>
              <w:top w:val="nil"/>
              <w:left w:val="nil"/>
            </w:tcBorders>
          </w:tcPr>
          <w:p w14:paraId="358F0B88" w14:textId="08A88BD8" w:rsidR="00A43AF9" w:rsidRDefault="00A43AF9" w:rsidP="002329DC">
            <w:pPr>
              <w:pStyle w:val="BodyText"/>
              <w:jc w:val="center"/>
            </w:pPr>
            <w:r>
              <w:t>81.3%</w:t>
            </w:r>
          </w:p>
        </w:tc>
      </w:tr>
      <w:tr w:rsidR="00A43AF9" w14:paraId="270B8E60" w14:textId="77777777" w:rsidTr="00A43AF9">
        <w:tc>
          <w:tcPr>
            <w:tcW w:w="2548" w:type="dxa"/>
            <w:tcBorders>
              <w:right w:val="nil"/>
            </w:tcBorders>
          </w:tcPr>
          <w:p w14:paraId="41E659BB" w14:textId="75D5B3D4" w:rsidR="00A43AF9" w:rsidRPr="00A43AF9" w:rsidRDefault="00A43AF9" w:rsidP="002329DC">
            <w:pPr>
              <w:pStyle w:val="BodyText"/>
              <w:jc w:val="center"/>
              <w:rPr>
                <w:b/>
                <w:bCs/>
              </w:rPr>
            </w:pPr>
            <w:r>
              <w:rPr>
                <w:b/>
                <w:bCs/>
              </w:rPr>
              <w:t>Total</w:t>
            </w:r>
          </w:p>
        </w:tc>
        <w:tc>
          <w:tcPr>
            <w:tcW w:w="2646" w:type="dxa"/>
            <w:tcBorders>
              <w:left w:val="nil"/>
              <w:right w:val="nil"/>
            </w:tcBorders>
          </w:tcPr>
          <w:p w14:paraId="3D0D3FB6" w14:textId="6D365FDD" w:rsidR="00A43AF9" w:rsidRPr="00A43AF9" w:rsidRDefault="00A43AF9" w:rsidP="002329DC">
            <w:pPr>
              <w:pStyle w:val="BodyText"/>
              <w:jc w:val="center"/>
              <w:rPr>
                <w:b/>
                <w:bCs/>
              </w:rPr>
            </w:pPr>
            <w:r>
              <w:rPr>
                <w:b/>
                <w:bCs/>
              </w:rPr>
              <w:t>48</w:t>
            </w:r>
          </w:p>
        </w:tc>
        <w:tc>
          <w:tcPr>
            <w:tcW w:w="2636" w:type="dxa"/>
            <w:tcBorders>
              <w:left w:val="nil"/>
            </w:tcBorders>
          </w:tcPr>
          <w:p w14:paraId="40520EB8" w14:textId="79323680" w:rsidR="00A43AF9" w:rsidRPr="00A43AF9" w:rsidRDefault="00A43AF9" w:rsidP="002329DC">
            <w:pPr>
              <w:pStyle w:val="BodyText"/>
              <w:jc w:val="center"/>
              <w:rPr>
                <w:b/>
                <w:bCs/>
              </w:rPr>
            </w:pPr>
            <w:r>
              <w:rPr>
                <w:b/>
                <w:bCs/>
              </w:rPr>
              <w:t>100.0%</w:t>
            </w:r>
          </w:p>
        </w:tc>
      </w:tr>
    </w:tbl>
    <w:p w14:paraId="2C624D23" w14:textId="77777777" w:rsidR="00B62D91" w:rsidRPr="00B62D91" w:rsidRDefault="00A43AF9" w:rsidP="00B62D91">
      <w:pPr>
        <w:pStyle w:val="BodyText"/>
        <w:spacing w:line="360" w:lineRule="auto"/>
        <w:ind w:left="1530"/>
        <w:jc w:val="both"/>
        <w:rPr>
          <w:lang w:val="en-US"/>
        </w:rPr>
      </w:pPr>
      <w:r w:rsidRPr="00A43AF9">
        <w:t>Berdasarkan tabel</w:t>
      </w:r>
      <w:r>
        <w:t xml:space="preserve"> 4.6</w:t>
      </w:r>
      <w:r w:rsidRPr="00A43AF9">
        <w:t xml:space="preserve">, </w:t>
      </w:r>
      <w:proofErr w:type="spellStart"/>
      <w:r w:rsidR="00B62D91" w:rsidRPr="00B62D91">
        <w:rPr>
          <w:lang w:val="en-US"/>
        </w:rPr>
        <w:t>Responden</w:t>
      </w:r>
      <w:proofErr w:type="spellEnd"/>
      <w:r w:rsidR="00B62D91" w:rsidRPr="00B62D91">
        <w:rPr>
          <w:lang w:val="en-US"/>
        </w:rPr>
        <w:t xml:space="preserve"> </w:t>
      </w:r>
      <w:proofErr w:type="spellStart"/>
      <w:r w:rsidR="00B62D91" w:rsidRPr="00B62D91">
        <w:rPr>
          <w:lang w:val="en-US"/>
        </w:rPr>
        <w:t>terbanyak</w:t>
      </w:r>
      <w:proofErr w:type="spellEnd"/>
      <w:r w:rsidR="00B62D91" w:rsidRPr="00B62D91">
        <w:rPr>
          <w:lang w:val="en-US"/>
        </w:rPr>
        <w:t xml:space="preserve"> </w:t>
      </w:r>
      <w:proofErr w:type="spellStart"/>
      <w:r w:rsidR="00B62D91" w:rsidRPr="00B62D91">
        <w:rPr>
          <w:lang w:val="en-US"/>
        </w:rPr>
        <w:t>berpendidikan</w:t>
      </w:r>
      <w:proofErr w:type="spellEnd"/>
      <w:r w:rsidR="00B62D91" w:rsidRPr="00B62D91">
        <w:rPr>
          <w:lang w:val="en-US"/>
        </w:rPr>
        <w:t xml:space="preserve"> SMA (81,3%), </w:t>
      </w:r>
      <w:proofErr w:type="spellStart"/>
      <w:r w:rsidR="00B62D91" w:rsidRPr="00B62D91">
        <w:rPr>
          <w:lang w:val="en-US"/>
        </w:rPr>
        <w:t>sedangkan</w:t>
      </w:r>
      <w:proofErr w:type="spellEnd"/>
      <w:r w:rsidR="00B62D91" w:rsidRPr="00B62D91">
        <w:rPr>
          <w:lang w:val="en-US"/>
        </w:rPr>
        <w:t xml:space="preserve"> </w:t>
      </w:r>
      <w:proofErr w:type="spellStart"/>
      <w:r w:rsidR="00B62D91" w:rsidRPr="00B62D91">
        <w:rPr>
          <w:lang w:val="en-US"/>
        </w:rPr>
        <w:t>lulusan</w:t>
      </w:r>
      <w:proofErr w:type="spellEnd"/>
      <w:r w:rsidR="00B62D91" w:rsidRPr="00B62D91">
        <w:rPr>
          <w:lang w:val="en-US"/>
        </w:rPr>
        <w:t xml:space="preserve"> SD </w:t>
      </w:r>
      <w:proofErr w:type="spellStart"/>
      <w:r w:rsidR="00B62D91" w:rsidRPr="00B62D91">
        <w:rPr>
          <w:lang w:val="en-US"/>
        </w:rPr>
        <w:t>sebanyak</w:t>
      </w:r>
      <w:proofErr w:type="spellEnd"/>
      <w:r w:rsidR="00B62D91" w:rsidRPr="00B62D91">
        <w:rPr>
          <w:lang w:val="en-US"/>
        </w:rPr>
        <w:t xml:space="preserve"> 18,8%. Tingkat </w:t>
      </w:r>
      <w:proofErr w:type="spellStart"/>
      <w:r w:rsidR="00B62D91" w:rsidRPr="00B62D91">
        <w:rPr>
          <w:lang w:val="en-US"/>
        </w:rPr>
        <w:t>pendidikan</w:t>
      </w:r>
      <w:proofErr w:type="spellEnd"/>
      <w:r w:rsidR="00B62D91" w:rsidRPr="00B62D91">
        <w:rPr>
          <w:lang w:val="en-US"/>
        </w:rPr>
        <w:t xml:space="preserve"> </w:t>
      </w:r>
      <w:proofErr w:type="spellStart"/>
      <w:r w:rsidR="00B62D91" w:rsidRPr="00B62D91">
        <w:rPr>
          <w:lang w:val="en-US"/>
        </w:rPr>
        <w:t>memengaruhi</w:t>
      </w:r>
      <w:proofErr w:type="spellEnd"/>
      <w:r w:rsidR="00B62D91" w:rsidRPr="00B62D91">
        <w:rPr>
          <w:lang w:val="en-US"/>
        </w:rPr>
        <w:t xml:space="preserve"> </w:t>
      </w:r>
      <w:proofErr w:type="spellStart"/>
      <w:r w:rsidR="00B62D91" w:rsidRPr="00B62D91">
        <w:rPr>
          <w:lang w:val="en-US"/>
        </w:rPr>
        <w:t>pemahaman</w:t>
      </w:r>
      <w:proofErr w:type="spellEnd"/>
      <w:r w:rsidR="00B62D91" w:rsidRPr="00B62D91">
        <w:rPr>
          <w:lang w:val="en-US"/>
        </w:rPr>
        <w:t xml:space="preserve"> </w:t>
      </w:r>
      <w:proofErr w:type="spellStart"/>
      <w:r w:rsidR="00B62D91" w:rsidRPr="00B62D91">
        <w:rPr>
          <w:lang w:val="en-US"/>
        </w:rPr>
        <w:t>pasien</w:t>
      </w:r>
      <w:proofErr w:type="spellEnd"/>
      <w:r w:rsidR="00B62D91" w:rsidRPr="00B62D91">
        <w:rPr>
          <w:lang w:val="en-US"/>
        </w:rPr>
        <w:t xml:space="preserve"> </w:t>
      </w:r>
      <w:proofErr w:type="spellStart"/>
      <w:r w:rsidR="00B62D91" w:rsidRPr="00B62D91">
        <w:rPr>
          <w:lang w:val="en-US"/>
        </w:rPr>
        <w:t>terhadap</w:t>
      </w:r>
      <w:proofErr w:type="spellEnd"/>
      <w:r w:rsidR="00B62D91" w:rsidRPr="00B62D91">
        <w:rPr>
          <w:lang w:val="en-US"/>
        </w:rPr>
        <w:t xml:space="preserve"> </w:t>
      </w:r>
      <w:proofErr w:type="spellStart"/>
      <w:r w:rsidR="00B62D91" w:rsidRPr="00B62D91">
        <w:rPr>
          <w:lang w:val="en-US"/>
        </w:rPr>
        <w:t>instruksi</w:t>
      </w:r>
      <w:proofErr w:type="spellEnd"/>
      <w:r w:rsidR="00B62D91" w:rsidRPr="00B62D91">
        <w:rPr>
          <w:lang w:val="en-US"/>
        </w:rPr>
        <w:t xml:space="preserve"> </w:t>
      </w:r>
      <w:proofErr w:type="spellStart"/>
      <w:r w:rsidR="00B62D91" w:rsidRPr="00B62D91">
        <w:rPr>
          <w:lang w:val="en-US"/>
        </w:rPr>
        <w:t>medis</w:t>
      </w:r>
      <w:proofErr w:type="spellEnd"/>
      <w:r w:rsidR="00B62D91" w:rsidRPr="00B62D91">
        <w:rPr>
          <w:lang w:val="en-US"/>
        </w:rPr>
        <w:t xml:space="preserve"> dan </w:t>
      </w:r>
      <w:proofErr w:type="spellStart"/>
      <w:r w:rsidR="00B62D91" w:rsidRPr="00B62D91">
        <w:rPr>
          <w:lang w:val="en-US"/>
        </w:rPr>
        <w:t>kepatuhan</w:t>
      </w:r>
      <w:proofErr w:type="spellEnd"/>
      <w:r w:rsidR="00B62D91" w:rsidRPr="00B62D91">
        <w:rPr>
          <w:lang w:val="en-US"/>
        </w:rPr>
        <w:t xml:space="preserve"> </w:t>
      </w:r>
      <w:proofErr w:type="spellStart"/>
      <w:r w:rsidR="00B62D91" w:rsidRPr="00B62D91">
        <w:rPr>
          <w:lang w:val="en-US"/>
        </w:rPr>
        <w:t>terhadap</w:t>
      </w:r>
      <w:proofErr w:type="spellEnd"/>
      <w:r w:rsidR="00B62D91" w:rsidRPr="00B62D91">
        <w:rPr>
          <w:lang w:val="en-US"/>
        </w:rPr>
        <w:t xml:space="preserve"> </w:t>
      </w:r>
      <w:proofErr w:type="spellStart"/>
      <w:r w:rsidR="00B62D91" w:rsidRPr="00B62D91">
        <w:rPr>
          <w:lang w:val="en-US"/>
        </w:rPr>
        <w:t>terapi</w:t>
      </w:r>
      <w:proofErr w:type="spellEnd"/>
      <w:r w:rsidR="00B62D91" w:rsidRPr="00B62D91">
        <w:rPr>
          <w:lang w:val="en-US"/>
        </w:rPr>
        <w:t>.</w:t>
      </w:r>
    </w:p>
    <w:p w14:paraId="72BFD4D4" w14:textId="77777777" w:rsidR="00DC3006" w:rsidRDefault="00A43AF9" w:rsidP="00DC3006">
      <w:pPr>
        <w:pStyle w:val="BodyText"/>
        <w:numPr>
          <w:ilvl w:val="0"/>
          <w:numId w:val="3"/>
        </w:numPr>
        <w:spacing w:line="360" w:lineRule="auto"/>
        <w:jc w:val="both"/>
      </w:pPr>
      <w:r>
        <w:t>Lama hemodialisa</w:t>
      </w:r>
    </w:p>
    <w:p w14:paraId="42961324" w14:textId="4454B5BD" w:rsidR="00DC3006" w:rsidRDefault="00A43AF9" w:rsidP="00DC3006">
      <w:pPr>
        <w:pStyle w:val="BodyText"/>
        <w:spacing w:line="360" w:lineRule="auto"/>
        <w:ind w:left="1530"/>
        <w:jc w:val="center"/>
      </w:pPr>
      <w:r>
        <w:t>Distribusi frekuensi dan presentase berdasarkan lama hemodialis</w:t>
      </w:r>
      <w:r w:rsidR="00DC3006">
        <w:t>a</w:t>
      </w:r>
    </w:p>
    <w:tbl>
      <w:tblPr>
        <w:tblStyle w:val="TableGrid"/>
        <w:tblW w:w="0" w:type="auto"/>
        <w:tblInd w:w="1530" w:type="dxa"/>
        <w:tblBorders>
          <w:left w:val="none" w:sz="0" w:space="0" w:color="auto"/>
          <w:right w:val="none" w:sz="0" w:space="0" w:color="auto"/>
        </w:tblBorders>
        <w:tblLook w:val="04A0" w:firstRow="1" w:lastRow="0" w:firstColumn="1" w:lastColumn="0" w:noHBand="0" w:noVBand="1"/>
      </w:tblPr>
      <w:tblGrid>
        <w:gridCol w:w="2313"/>
        <w:gridCol w:w="2652"/>
        <w:gridCol w:w="2532"/>
      </w:tblGrid>
      <w:tr w:rsidR="00DC3006" w14:paraId="03159212" w14:textId="77777777" w:rsidTr="00DC3006">
        <w:tc>
          <w:tcPr>
            <w:tcW w:w="2430" w:type="dxa"/>
            <w:tcBorders>
              <w:right w:val="nil"/>
            </w:tcBorders>
          </w:tcPr>
          <w:p w14:paraId="23183156" w14:textId="77777777" w:rsidR="00DC3006" w:rsidRDefault="00DC3006" w:rsidP="002329DC">
            <w:pPr>
              <w:pStyle w:val="BodyText"/>
              <w:jc w:val="center"/>
            </w:pPr>
          </w:p>
        </w:tc>
        <w:tc>
          <w:tcPr>
            <w:tcW w:w="2763" w:type="dxa"/>
            <w:tcBorders>
              <w:left w:val="nil"/>
              <w:right w:val="nil"/>
            </w:tcBorders>
          </w:tcPr>
          <w:p w14:paraId="72296AC2" w14:textId="0892A817" w:rsidR="00DC3006" w:rsidRDefault="00DC3006" w:rsidP="002329DC">
            <w:pPr>
              <w:pStyle w:val="BodyText"/>
              <w:jc w:val="center"/>
            </w:pPr>
            <w:r>
              <w:t>Frekuensi</w:t>
            </w:r>
          </w:p>
        </w:tc>
        <w:tc>
          <w:tcPr>
            <w:tcW w:w="2637" w:type="dxa"/>
            <w:tcBorders>
              <w:left w:val="nil"/>
            </w:tcBorders>
          </w:tcPr>
          <w:p w14:paraId="39F18F5C" w14:textId="70B4FAA6" w:rsidR="00DC3006" w:rsidRDefault="00DC3006" w:rsidP="002329DC">
            <w:pPr>
              <w:pStyle w:val="BodyText"/>
              <w:jc w:val="center"/>
            </w:pPr>
            <w:r>
              <w:t>Persent%</w:t>
            </w:r>
          </w:p>
        </w:tc>
      </w:tr>
      <w:tr w:rsidR="00DC3006" w14:paraId="168C4C1C" w14:textId="77777777" w:rsidTr="00DC3006">
        <w:tc>
          <w:tcPr>
            <w:tcW w:w="2430" w:type="dxa"/>
            <w:tcBorders>
              <w:bottom w:val="nil"/>
              <w:right w:val="nil"/>
            </w:tcBorders>
          </w:tcPr>
          <w:p w14:paraId="6D916140" w14:textId="6345E343" w:rsidR="00DC3006" w:rsidRDefault="00DC3006" w:rsidP="002329DC">
            <w:pPr>
              <w:pStyle w:val="BodyText"/>
              <w:jc w:val="center"/>
            </w:pPr>
            <w:r>
              <w:t>&lt;12 bulan</w:t>
            </w:r>
          </w:p>
        </w:tc>
        <w:tc>
          <w:tcPr>
            <w:tcW w:w="2763" w:type="dxa"/>
            <w:tcBorders>
              <w:left w:val="nil"/>
              <w:bottom w:val="nil"/>
              <w:right w:val="nil"/>
            </w:tcBorders>
          </w:tcPr>
          <w:p w14:paraId="7D4CD49A" w14:textId="13E01B9D" w:rsidR="00DC3006" w:rsidRDefault="00DC3006" w:rsidP="002329DC">
            <w:pPr>
              <w:pStyle w:val="BodyText"/>
              <w:jc w:val="center"/>
            </w:pPr>
            <w:r>
              <w:t>10</w:t>
            </w:r>
          </w:p>
        </w:tc>
        <w:tc>
          <w:tcPr>
            <w:tcW w:w="2637" w:type="dxa"/>
            <w:tcBorders>
              <w:left w:val="nil"/>
              <w:bottom w:val="nil"/>
            </w:tcBorders>
          </w:tcPr>
          <w:p w14:paraId="07850E90" w14:textId="49150320" w:rsidR="00DC3006" w:rsidRDefault="00DC3006" w:rsidP="002329DC">
            <w:pPr>
              <w:pStyle w:val="BodyText"/>
              <w:jc w:val="center"/>
            </w:pPr>
            <w:r>
              <w:t>20.8%</w:t>
            </w:r>
          </w:p>
        </w:tc>
      </w:tr>
      <w:tr w:rsidR="00DC3006" w14:paraId="74A29B87" w14:textId="77777777" w:rsidTr="00DC3006">
        <w:tc>
          <w:tcPr>
            <w:tcW w:w="2430" w:type="dxa"/>
            <w:tcBorders>
              <w:top w:val="nil"/>
              <w:bottom w:val="nil"/>
              <w:right w:val="nil"/>
            </w:tcBorders>
          </w:tcPr>
          <w:p w14:paraId="1F507E94" w14:textId="1925AE6A" w:rsidR="00DC3006" w:rsidRDefault="00DC3006" w:rsidP="002329DC">
            <w:pPr>
              <w:pStyle w:val="BodyText"/>
              <w:jc w:val="center"/>
            </w:pPr>
            <w:r>
              <w:t>12-24 bulan</w:t>
            </w:r>
          </w:p>
        </w:tc>
        <w:tc>
          <w:tcPr>
            <w:tcW w:w="2763" w:type="dxa"/>
            <w:tcBorders>
              <w:top w:val="nil"/>
              <w:left w:val="nil"/>
              <w:bottom w:val="nil"/>
              <w:right w:val="nil"/>
            </w:tcBorders>
          </w:tcPr>
          <w:p w14:paraId="6E14B447" w14:textId="3B3B19DA" w:rsidR="00DC3006" w:rsidRDefault="00DC3006" w:rsidP="002329DC">
            <w:pPr>
              <w:pStyle w:val="BodyText"/>
              <w:jc w:val="center"/>
            </w:pPr>
            <w:r>
              <w:t>25</w:t>
            </w:r>
          </w:p>
        </w:tc>
        <w:tc>
          <w:tcPr>
            <w:tcW w:w="2637" w:type="dxa"/>
            <w:tcBorders>
              <w:top w:val="nil"/>
              <w:left w:val="nil"/>
              <w:bottom w:val="nil"/>
            </w:tcBorders>
          </w:tcPr>
          <w:p w14:paraId="2B54F0B2" w14:textId="3FEE9B2F" w:rsidR="00DC3006" w:rsidRDefault="00DC3006" w:rsidP="002329DC">
            <w:pPr>
              <w:pStyle w:val="BodyText"/>
              <w:jc w:val="center"/>
            </w:pPr>
            <w:r>
              <w:t>52.1%</w:t>
            </w:r>
          </w:p>
        </w:tc>
      </w:tr>
      <w:tr w:rsidR="00DC3006" w14:paraId="03972BF6" w14:textId="77777777" w:rsidTr="00DC3006">
        <w:tc>
          <w:tcPr>
            <w:tcW w:w="2430" w:type="dxa"/>
            <w:tcBorders>
              <w:top w:val="nil"/>
              <w:right w:val="nil"/>
            </w:tcBorders>
          </w:tcPr>
          <w:p w14:paraId="1D357318" w14:textId="43F87312" w:rsidR="00DC3006" w:rsidRDefault="00DC3006" w:rsidP="002329DC">
            <w:pPr>
              <w:pStyle w:val="BodyText"/>
              <w:jc w:val="center"/>
            </w:pPr>
            <w:r>
              <w:t>&gt;24 bulan</w:t>
            </w:r>
          </w:p>
        </w:tc>
        <w:tc>
          <w:tcPr>
            <w:tcW w:w="2763" w:type="dxa"/>
            <w:tcBorders>
              <w:top w:val="nil"/>
              <w:left w:val="nil"/>
              <w:right w:val="nil"/>
            </w:tcBorders>
          </w:tcPr>
          <w:p w14:paraId="268D2CAC" w14:textId="03E99733" w:rsidR="00DC3006" w:rsidRDefault="00DC3006" w:rsidP="002329DC">
            <w:pPr>
              <w:pStyle w:val="BodyText"/>
              <w:jc w:val="center"/>
            </w:pPr>
            <w:r>
              <w:t>13</w:t>
            </w:r>
          </w:p>
        </w:tc>
        <w:tc>
          <w:tcPr>
            <w:tcW w:w="2637" w:type="dxa"/>
            <w:tcBorders>
              <w:top w:val="nil"/>
              <w:left w:val="nil"/>
            </w:tcBorders>
          </w:tcPr>
          <w:p w14:paraId="10F78ADE" w14:textId="3A7A3776" w:rsidR="00DC3006" w:rsidRDefault="00DC3006" w:rsidP="002329DC">
            <w:pPr>
              <w:pStyle w:val="BodyText"/>
              <w:jc w:val="center"/>
            </w:pPr>
            <w:r>
              <w:t>27.1%</w:t>
            </w:r>
          </w:p>
        </w:tc>
      </w:tr>
      <w:tr w:rsidR="00DC3006" w14:paraId="57BBBCA5" w14:textId="77777777" w:rsidTr="00DC3006">
        <w:tc>
          <w:tcPr>
            <w:tcW w:w="2430" w:type="dxa"/>
            <w:tcBorders>
              <w:right w:val="nil"/>
            </w:tcBorders>
          </w:tcPr>
          <w:p w14:paraId="597E3084" w14:textId="073FA9B1" w:rsidR="00DC3006" w:rsidRPr="00DC3006" w:rsidRDefault="00DC3006" w:rsidP="002329DC">
            <w:pPr>
              <w:pStyle w:val="BodyText"/>
              <w:jc w:val="center"/>
              <w:rPr>
                <w:b/>
                <w:bCs/>
              </w:rPr>
            </w:pPr>
            <w:r>
              <w:rPr>
                <w:b/>
                <w:bCs/>
              </w:rPr>
              <w:t>total</w:t>
            </w:r>
          </w:p>
        </w:tc>
        <w:tc>
          <w:tcPr>
            <w:tcW w:w="2763" w:type="dxa"/>
            <w:tcBorders>
              <w:left w:val="nil"/>
              <w:right w:val="nil"/>
            </w:tcBorders>
          </w:tcPr>
          <w:p w14:paraId="591821FA" w14:textId="2535AC9E" w:rsidR="00DC3006" w:rsidRPr="00DC3006" w:rsidRDefault="00DC3006" w:rsidP="002329DC">
            <w:pPr>
              <w:pStyle w:val="BodyText"/>
              <w:jc w:val="center"/>
              <w:rPr>
                <w:b/>
                <w:bCs/>
              </w:rPr>
            </w:pPr>
            <w:r>
              <w:rPr>
                <w:b/>
                <w:bCs/>
              </w:rPr>
              <w:t>48</w:t>
            </w:r>
          </w:p>
        </w:tc>
        <w:tc>
          <w:tcPr>
            <w:tcW w:w="2637" w:type="dxa"/>
            <w:tcBorders>
              <w:left w:val="nil"/>
            </w:tcBorders>
          </w:tcPr>
          <w:p w14:paraId="0DDC4E7D" w14:textId="6C67A9DF" w:rsidR="00DC3006" w:rsidRPr="00DC3006" w:rsidRDefault="00DC3006" w:rsidP="002329DC">
            <w:pPr>
              <w:pStyle w:val="BodyText"/>
              <w:jc w:val="center"/>
              <w:rPr>
                <w:b/>
                <w:bCs/>
              </w:rPr>
            </w:pPr>
            <w:r>
              <w:rPr>
                <w:b/>
                <w:bCs/>
              </w:rPr>
              <w:t>100.0%</w:t>
            </w:r>
          </w:p>
        </w:tc>
      </w:tr>
    </w:tbl>
    <w:p w14:paraId="78CF63B7" w14:textId="77777777" w:rsidR="00B62D91" w:rsidRPr="00B62D91" w:rsidRDefault="00DC3006" w:rsidP="00B62D91">
      <w:pPr>
        <w:pStyle w:val="BodyText"/>
        <w:spacing w:line="360" w:lineRule="auto"/>
        <w:ind w:left="1530"/>
        <w:jc w:val="both"/>
        <w:rPr>
          <w:lang w:val="en-US"/>
        </w:rPr>
      </w:pPr>
      <w:r w:rsidRPr="00DC3006">
        <w:t>Berdasarkan tabel</w:t>
      </w:r>
      <w:r>
        <w:t xml:space="preserve"> 4.7</w:t>
      </w:r>
      <w:r w:rsidRPr="00DC3006">
        <w:t xml:space="preserve">, </w:t>
      </w:r>
      <w:r w:rsidR="00B62D91" w:rsidRPr="00B62D91">
        <w:rPr>
          <w:lang w:val="en-US"/>
        </w:rPr>
        <w:t xml:space="preserve">Sebagian </w:t>
      </w:r>
      <w:proofErr w:type="spellStart"/>
      <w:r w:rsidR="00B62D91" w:rsidRPr="00B62D91">
        <w:rPr>
          <w:lang w:val="en-US"/>
        </w:rPr>
        <w:t>besar</w:t>
      </w:r>
      <w:proofErr w:type="spellEnd"/>
      <w:r w:rsidR="00B62D91" w:rsidRPr="00B62D91">
        <w:rPr>
          <w:lang w:val="en-US"/>
        </w:rPr>
        <w:t xml:space="preserve"> </w:t>
      </w:r>
      <w:proofErr w:type="spellStart"/>
      <w:r w:rsidR="00B62D91" w:rsidRPr="00B62D91">
        <w:rPr>
          <w:lang w:val="en-US"/>
        </w:rPr>
        <w:t>pasien</w:t>
      </w:r>
      <w:proofErr w:type="spellEnd"/>
      <w:r w:rsidR="00B62D91" w:rsidRPr="00B62D91">
        <w:rPr>
          <w:lang w:val="en-US"/>
        </w:rPr>
        <w:t xml:space="preserve"> </w:t>
      </w:r>
      <w:proofErr w:type="spellStart"/>
      <w:r w:rsidR="00B62D91" w:rsidRPr="00B62D91">
        <w:rPr>
          <w:lang w:val="en-US"/>
        </w:rPr>
        <w:t>telah</w:t>
      </w:r>
      <w:proofErr w:type="spellEnd"/>
      <w:r w:rsidR="00B62D91" w:rsidRPr="00B62D91">
        <w:rPr>
          <w:lang w:val="en-US"/>
        </w:rPr>
        <w:t xml:space="preserve"> </w:t>
      </w:r>
      <w:proofErr w:type="spellStart"/>
      <w:r w:rsidR="00B62D91" w:rsidRPr="00B62D91">
        <w:rPr>
          <w:lang w:val="en-US"/>
        </w:rPr>
        <w:t>menjalani</w:t>
      </w:r>
      <w:proofErr w:type="spellEnd"/>
      <w:r w:rsidR="00B62D91" w:rsidRPr="00B62D91">
        <w:rPr>
          <w:lang w:val="en-US"/>
        </w:rPr>
        <w:t xml:space="preserve"> </w:t>
      </w:r>
      <w:proofErr w:type="spellStart"/>
      <w:r w:rsidR="00B62D91" w:rsidRPr="00B62D91">
        <w:rPr>
          <w:lang w:val="en-US"/>
        </w:rPr>
        <w:t>hemodialisis</w:t>
      </w:r>
      <w:proofErr w:type="spellEnd"/>
      <w:r w:rsidR="00B62D91" w:rsidRPr="00B62D91">
        <w:rPr>
          <w:lang w:val="en-US"/>
        </w:rPr>
        <w:t xml:space="preserve"> </w:t>
      </w:r>
      <w:proofErr w:type="spellStart"/>
      <w:r w:rsidR="00B62D91" w:rsidRPr="00B62D91">
        <w:rPr>
          <w:lang w:val="en-US"/>
        </w:rPr>
        <w:t>selama</w:t>
      </w:r>
      <w:proofErr w:type="spellEnd"/>
      <w:r w:rsidR="00B62D91" w:rsidRPr="00B62D91">
        <w:rPr>
          <w:lang w:val="en-US"/>
        </w:rPr>
        <w:t xml:space="preserve"> 12–24 </w:t>
      </w:r>
      <w:proofErr w:type="spellStart"/>
      <w:r w:rsidR="00B62D91" w:rsidRPr="00B62D91">
        <w:rPr>
          <w:lang w:val="en-US"/>
        </w:rPr>
        <w:t>bulan</w:t>
      </w:r>
      <w:proofErr w:type="spellEnd"/>
      <w:r w:rsidR="00B62D91" w:rsidRPr="00B62D91">
        <w:rPr>
          <w:lang w:val="en-US"/>
        </w:rPr>
        <w:t xml:space="preserve"> (52,1%), </w:t>
      </w:r>
      <w:proofErr w:type="spellStart"/>
      <w:r w:rsidR="00B62D91" w:rsidRPr="00B62D91">
        <w:rPr>
          <w:lang w:val="en-US"/>
        </w:rPr>
        <w:t>lebih</w:t>
      </w:r>
      <w:proofErr w:type="spellEnd"/>
      <w:r w:rsidR="00B62D91" w:rsidRPr="00B62D91">
        <w:rPr>
          <w:lang w:val="en-US"/>
        </w:rPr>
        <w:t xml:space="preserve"> </w:t>
      </w:r>
      <w:proofErr w:type="spellStart"/>
      <w:r w:rsidR="00B62D91" w:rsidRPr="00B62D91">
        <w:rPr>
          <w:lang w:val="en-US"/>
        </w:rPr>
        <w:t>dari</w:t>
      </w:r>
      <w:proofErr w:type="spellEnd"/>
      <w:r w:rsidR="00B62D91" w:rsidRPr="00B62D91">
        <w:rPr>
          <w:lang w:val="en-US"/>
        </w:rPr>
        <w:t xml:space="preserve"> 24 </w:t>
      </w:r>
      <w:proofErr w:type="spellStart"/>
      <w:r w:rsidR="00B62D91" w:rsidRPr="00B62D91">
        <w:rPr>
          <w:lang w:val="en-US"/>
        </w:rPr>
        <w:t>bulan</w:t>
      </w:r>
      <w:proofErr w:type="spellEnd"/>
      <w:r w:rsidR="00B62D91" w:rsidRPr="00B62D91">
        <w:rPr>
          <w:lang w:val="en-US"/>
        </w:rPr>
        <w:t xml:space="preserve"> (27,1%), dan </w:t>
      </w:r>
      <w:proofErr w:type="spellStart"/>
      <w:r w:rsidR="00B62D91" w:rsidRPr="00B62D91">
        <w:rPr>
          <w:lang w:val="en-US"/>
        </w:rPr>
        <w:t>kurang</w:t>
      </w:r>
      <w:proofErr w:type="spellEnd"/>
      <w:r w:rsidR="00B62D91" w:rsidRPr="00B62D91">
        <w:rPr>
          <w:lang w:val="en-US"/>
        </w:rPr>
        <w:t xml:space="preserve"> </w:t>
      </w:r>
      <w:proofErr w:type="spellStart"/>
      <w:r w:rsidR="00B62D91" w:rsidRPr="00B62D91">
        <w:rPr>
          <w:lang w:val="en-US"/>
        </w:rPr>
        <w:t>dari</w:t>
      </w:r>
      <w:proofErr w:type="spellEnd"/>
      <w:r w:rsidR="00B62D91" w:rsidRPr="00B62D91">
        <w:rPr>
          <w:lang w:val="en-US"/>
        </w:rPr>
        <w:t xml:space="preserve"> 12 </w:t>
      </w:r>
      <w:proofErr w:type="spellStart"/>
      <w:r w:rsidR="00B62D91" w:rsidRPr="00B62D91">
        <w:rPr>
          <w:lang w:val="en-US"/>
        </w:rPr>
        <w:t>bulan</w:t>
      </w:r>
      <w:proofErr w:type="spellEnd"/>
      <w:r w:rsidR="00B62D91" w:rsidRPr="00B62D91">
        <w:rPr>
          <w:lang w:val="en-US"/>
        </w:rPr>
        <w:t xml:space="preserve"> (20,8%). </w:t>
      </w:r>
      <w:proofErr w:type="spellStart"/>
      <w:r w:rsidR="00B62D91" w:rsidRPr="00B62D91">
        <w:rPr>
          <w:lang w:val="en-US"/>
        </w:rPr>
        <w:t>Durasi</w:t>
      </w:r>
      <w:proofErr w:type="spellEnd"/>
      <w:r w:rsidR="00B62D91" w:rsidRPr="00B62D91">
        <w:rPr>
          <w:lang w:val="en-US"/>
        </w:rPr>
        <w:t xml:space="preserve"> </w:t>
      </w:r>
      <w:proofErr w:type="spellStart"/>
      <w:r w:rsidR="00B62D91" w:rsidRPr="00B62D91">
        <w:rPr>
          <w:lang w:val="en-US"/>
        </w:rPr>
        <w:t>terapi</w:t>
      </w:r>
      <w:proofErr w:type="spellEnd"/>
      <w:r w:rsidR="00B62D91" w:rsidRPr="00B62D91">
        <w:rPr>
          <w:lang w:val="en-US"/>
        </w:rPr>
        <w:t xml:space="preserve"> yang </w:t>
      </w:r>
      <w:proofErr w:type="spellStart"/>
      <w:r w:rsidR="00B62D91" w:rsidRPr="00B62D91">
        <w:rPr>
          <w:lang w:val="en-US"/>
        </w:rPr>
        <w:t>lebih</w:t>
      </w:r>
      <w:proofErr w:type="spellEnd"/>
      <w:r w:rsidR="00B62D91" w:rsidRPr="00B62D91">
        <w:rPr>
          <w:lang w:val="en-US"/>
        </w:rPr>
        <w:t xml:space="preserve"> lama </w:t>
      </w:r>
      <w:proofErr w:type="spellStart"/>
      <w:r w:rsidR="00B62D91" w:rsidRPr="00B62D91">
        <w:rPr>
          <w:lang w:val="en-US"/>
        </w:rPr>
        <w:t>menunjukkan</w:t>
      </w:r>
      <w:proofErr w:type="spellEnd"/>
      <w:r w:rsidR="00B62D91" w:rsidRPr="00B62D91">
        <w:rPr>
          <w:lang w:val="en-US"/>
        </w:rPr>
        <w:t xml:space="preserve"> </w:t>
      </w:r>
      <w:proofErr w:type="spellStart"/>
      <w:r w:rsidR="00B62D91" w:rsidRPr="00B62D91">
        <w:rPr>
          <w:lang w:val="en-US"/>
        </w:rPr>
        <w:t>kondisi</w:t>
      </w:r>
      <w:proofErr w:type="spellEnd"/>
      <w:r w:rsidR="00B62D91" w:rsidRPr="00B62D91">
        <w:rPr>
          <w:lang w:val="en-US"/>
        </w:rPr>
        <w:t xml:space="preserve"> </w:t>
      </w:r>
      <w:proofErr w:type="spellStart"/>
      <w:r w:rsidR="00B62D91" w:rsidRPr="00B62D91">
        <w:rPr>
          <w:lang w:val="en-US"/>
        </w:rPr>
        <w:t>penyakit</w:t>
      </w:r>
      <w:proofErr w:type="spellEnd"/>
      <w:r w:rsidR="00B62D91" w:rsidRPr="00B62D91">
        <w:rPr>
          <w:lang w:val="en-US"/>
        </w:rPr>
        <w:t xml:space="preserve"> </w:t>
      </w:r>
      <w:proofErr w:type="spellStart"/>
      <w:r w:rsidR="00B62D91" w:rsidRPr="00B62D91">
        <w:rPr>
          <w:lang w:val="en-US"/>
        </w:rPr>
        <w:t>lebih</w:t>
      </w:r>
      <w:proofErr w:type="spellEnd"/>
      <w:r w:rsidR="00B62D91" w:rsidRPr="00B62D91">
        <w:rPr>
          <w:lang w:val="en-US"/>
        </w:rPr>
        <w:t xml:space="preserve"> </w:t>
      </w:r>
      <w:proofErr w:type="spellStart"/>
      <w:r w:rsidR="00B62D91" w:rsidRPr="00B62D91">
        <w:rPr>
          <w:lang w:val="en-US"/>
        </w:rPr>
        <w:t>lanjut</w:t>
      </w:r>
      <w:proofErr w:type="spellEnd"/>
      <w:r w:rsidR="00B62D91" w:rsidRPr="00B62D91">
        <w:rPr>
          <w:lang w:val="en-US"/>
        </w:rPr>
        <w:t xml:space="preserve">, </w:t>
      </w:r>
      <w:proofErr w:type="spellStart"/>
      <w:r w:rsidR="00B62D91" w:rsidRPr="00B62D91">
        <w:rPr>
          <w:lang w:val="en-US"/>
        </w:rPr>
        <w:t>sekaligus</w:t>
      </w:r>
      <w:proofErr w:type="spellEnd"/>
      <w:r w:rsidR="00B62D91" w:rsidRPr="00B62D91">
        <w:rPr>
          <w:lang w:val="en-US"/>
        </w:rPr>
        <w:t xml:space="preserve"> </w:t>
      </w:r>
      <w:proofErr w:type="spellStart"/>
      <w:r w:rsidR="00B62D91" w:rsidRPr="00B62D91">
        <w:rPr>
          <w:lang w:val="en-US"/>
        </w:rPr>
        <w:t>peluang</w:t>
      </w:r>
      <w:proofErr w:type="spellEnd"/>
      <w:r w:rsidR="00B62D91" w:rsidRPr="00B62D91">
        <w:rPr>
          <w:lang w:val="en-US"/>
        </w:rPr>
        <w:t xml:space="preserve"> </w:t>
      </w:r>
      <w:proofErr w:type="spellStart"/>
      <w:r w:rsidR="00B62D91" w:rsidRPr="00B62D91">
        <w:rPr>
          <w:lang w:val="en-US"/>
        </w:rPr>
        <w:t>adaptasi</w:t>
      </w:r>
      <w:proofErr w:type="spellEnd"/>
      <w:r w:rsidR="00B62D91" w:rsidRPr="00B62D91">
        <w:rPr>
          <w:lang w:val="en-US"/>
        </w:rPr>
        <w:t xml:space="preserve"> </w:t>
      </w:r>
      <w:proofErr w:type="spellStart"/>
      <w:r w:rsidR="00B62D91" w:rsidRPr="00B62D91">
        <w:rPr>
          <w:lang w:val="en-US"/>
        </w:rPr>
        <w:t>pasien</w:t>
      </w:r>
      <w:proofErr w:type="spellEnd"/>
      <w:r w:rsidR="00B62D91" w:rsidRPr="00B62D91">
        <w:rPr>
          <w:lang w:val="en-US"/>
        </w:rPr>
        <w:t xml:space="preserve"> yang </w:t>
      </w:r>
      <w:proofErr w:type="spellStart"/>
      <w:r w:rsidR="00B62D91" w:rsidRPr="00B62D91">
        <w:rPr>
          <w:lang w:val="en-US"/>
        </w:rPr>
        <w:t>lebih</w:t>
      </w:r>
      <w:proofErr w:type="spellEnd"/>
      <w:r w:rsidR="00B62D91" w:rsidRPr="00B62D91">
        <w:rPr>
          <w:lang w:val="en-US"/>
        </w:rPr>
        <w:t xml:space="preserve"> </w:t>
      </w:r>
      <w:proofErr w:type="spellStart"/>
      <w:r w:rsidR="00B62D91" w:rsidRPr="00B62D91">
        <w:rPr>
          <w:lang w:val="en-US"/>
        </w:rPr>
        <w:t>baik</w:t>
      </w:r>
      <w:proofErr w:type="spellEnd"/>
      <w:r w:rsidR="00B62D91" w:rsidRPr="00B62D91">
        <w:rPr>
          <w:lang w:val="en-US"/>
        </w:rPr>
        <w:t xml:space="preserve"> </w:t>
      </w:r>
      <w:proofErr w:type="spellStart"/>
      <w:r w:rsidR="00B62D91" w:rsidRPr="00B62D91">
        <w:rPr>
          <w:lang w:val="en-US"/>
        </w:rPr>
        <w:t>terhadap</w:t>
      </w:r>
      <w:proofErr w:type="spellEnd"/>
      <w:r w:rsidR="00B62D91" w:rsidRPr="00B62D91">
        <w:rPr>
          <w:lang w:val="en-US"/>
        </w:rPr>
        <w:t xml:space="preserve"> </w:t>
      </w:r>
      <w:proofErr w:type="spellStart"/>
      <w:r w:rsidR="00B62D91" w:rsidRPr="00B62D91">
        <w:rPr>
          <w:lang w:val="en-US"/>
        </w:rPr>
        <w:t>prosedur</w:t>
      </w:r>
      <w:proofErr w:type="spellEnd"/>
      <w:r w:rsidR="00B62D91" w:rsidRPr="00B62D91">
        <w:rPr>
          <w:lang w:val="en-US"/>
        </w:rPr>
        <w:t xml:space="preserve"> </w:t>
      </w:r>
      <w:proofErr w:type="spellStart"/>
      <w:r w:rsidR="00B62D91" w:rsidRPr="00B62D91">
        <w:rPr>
          <w:lang w:val="en-US"/>
        </w:rPr>
        <w:t>terapi</w:t>
      </w:r>
      <w:proofErr w:type="spellEnd"/>
      <w:r w:rsidR="00B62D91" w:rsidRPr="00B62D91">
        <w:rPr>
          <w:lang w:val="en-US"/>
        </w:rPr>
        <w:t>.</w:t>
      </w:r>
    </w:p>
    <w:p w14:paraId="4BF5C8CF" w14:textId="77777777" w:rsidR="00325339" w:rsidRDefault="00325339" w:rsidP="00325339">
      <w:pPr>
        <w:pStyle w:val="BodyText"/>
        <w:spacing w:line="360" w:lineRule="auto"/>
        <w:ind w:left="1530"/>
        <w:jc w:val="both"/>
        <w:rPr>
          <w:lang w:val="en-US"/>
        </w:rPr>
      </w:pPr>
    </w:p>
    <w:p w14:paraId="06552294" w14:textId="7FDD631B" w:rsidR="00142B75" w:rsidRDefault="00142B75" w:rsidP="00325339">
      <w:pPr>
        <w:pStyle w:val="BodyText"/>
        <w:spacing w:line="360" w:lineRule="auto"/>
        <w:ind w:left="1530"/>
        <w:jc w:val="both"/>
      </w:pPr>
      <w:r>
        <w:t>Analisa Univariat</w:t>
      </w:r>
    </w:p>
    <w:p w14:paraId="2C6B9EBB" w14:textId="38A7B468" w:rsidR="00142B75" w:rsidRDefault="00142B75" w:rsidP="00142B75">
      <w:pPr>
        <w:pStyle w:val="BodyText"/>
        <w:numPr>
          <w:ilvl w:val="0"/>
          <w:numId w:val="4"/>
        </w:numPr>
        <w:spacing w:line="360" w:lineRule="auto"/>
        <w:jc w:val="both"/>
      </w:pPr>
      <w:r>
        <w:t>Kepatuahan terapi hemodialisa</w:t>
      </w:r>
    </w:p>
    <w:p w14:paraId="445DEE1D" w14:textId="5E5D553D" w:rsidR="00142B75" w:rsidRDefault="00142B75" w:rsidP="00142B75">
      <w:pPr>
        <w:pStyle w:val="BodyText"/>
        <w:spacing w:line="360" w:lineRule="auto"/>
        <w:ind w:left="1530"/>
        <w:jc w:val="center"/>
      </w:pPr>
      <w:r>
        <w:t>Distribusi frekuensi dan presentase berdasarkan kepatuhan terapi hemodialisa di RS Bhina Bhakti Husada Rembang</w:t>
      </w:r>
    </w:p>
    <w:tbl>
      <w:tblPr>
        <w:tblStyle w:val="TableGrid"/>
        <w:tblW w:w="0" w:type="auto"/>
        <w:tblInd w:w="1530" w:type="dxa"/>
        <w:tblBorders>
          <w:left w:val="none" w:sz="0" w:space="0" w:color="auto"/>
          <w:right w:val="none" w:sz="0" w:space="0" w:color="auto"/>
        </w:tblBorders>
        <w:tblLook w:val="04A0" w:firstRow="1" w:lastRow="0" w:firstColumn="1" w:lastColumn="0" w:noHBand="0" w:noVBand="1"/>
      </w:tblPr>
      <w:tblGrid>
        <w:gridCol w:w="2427"/>
        <w:gridCol w:w="2541"/>
        <w:gridCol w:w="2529"/>
      </w:tblGrid>
      <w:tr w:rsidR="00142B75" w14:paraId="1453E67B" w14:textId="77777777" w:rsidTr="00142B75">
        <w:tc>
          <w:tcPr>
            <w:tcW w:w="2550" w:type="dxa"/>
            <w:tcBorders>
              <w:bottom w:val="single" w:sz="4" w:space="0" w:color="auto"/>
              <w:right w:val="nil"/>
            </w:tcBorders>
          </w:tcPr>
          <w:p w14:paraId="7B1F4D8E" w14:textId="77777777" w:rsidR="00142B75" w:rsidRDefault="00142B75" w:rsidP="002329DC">
            <w:pPr>
              <w:pStyle w:val="BodyText"/>
              <w:jc w:val="center"/>
            </w:pPr>
          </w:p>
        </w:tc>
        <w:tc>
          <w:tcPr>
            <w:tcW w:w="2645" w:type="dxa"/>
            <w:tcBorders>
              <w:left w:val="nil"/>
              <w:bottom w:val="single" w:sz="4" w:space="0" w:color="auto"/>
              <w:right w:val="nil"/>
            </w:tcBorders>
          </w:tcPr>
          <w:p w14:paraId="7AEF3519" w14:textId="1DA72FC8" w:rsidR="00142B75" w:rsidRDefault="00142B75" w:rsidP="002329DC">
            <w:pPr>
              <w:pStyle w:val="BodyText"/>
              <w:jc w:val="center"/>
            </w:pPr>
            <w:r>
              <w:t>Frekuensi</w:t>
            </w:r>
          </w:p>
        </w:tc>
        <w:tc>
          <w:tcPr>
            <w:tcW w:w="2635" w:type="dxa"/>
            <w:tcBorders>
              <w:left w:val="nil"/>
              <w:bottom w:val="single" w:sz="4" w:space="0" w:color="auto"/>
            </w:tcBorders>
          </w:tcPr>
          <w:p w14:paraId="45D4EB4E" w14:textId="3DE387F8" w:rsidR="00142B75" w:rsidRDefault="00142B75" w:rsidP="002329DC">
            <w:pPr>
              <w:pStyle w:val="BodyText"/>
              <w:jc w:val="center"/>
            </w:pPr>
            <w:r>
              <w:t>Persent%</w:t>
            </w:r>
          </w:p>
        </w:tc>
      </w:tr>
      <w:tr w:rsidR="00142B75" w14:paraId="012B5E07" w14:textId="77777777" w:rsidTr="00142B75">
        <w:tc>
          <w:tcPr>
            <w:tcW w:w="2550" w:type="dxa"/>
            <w:tcBorders>
              <w:bottom w:val="nil"/>
              <w:right w:val="nil"/>
            </w:tcBorders>
          </w:tcPr>
          <w:p w14:paraId="71BDB9AC" w14:textId="50DA1BCA" w:rsidR="00142B75" w:rsidRDefault="00142B75" w:rsidP="002329DC">
            <w:pPr>
              <w:pStyle w:val="BodyText"/>
              <w:jc w:val="center"/>
            </w:pPr>
            <w:r>
              <w:t>Tidak patuh</w:t>
            </w:r>
          </w:p>
        </w:tc>
        <w:tc>
          <w:tcPr>
            <w:tcW w:w="2645" w:type="dxa"/>
            <w:tcBorders>
              <w:left w:val="nil"/>
              <w:bottom w:val="nil"/>
              <w:right w:val="nil"/>
            </w:tcBorders>
          </w:tcPr>
          <w:p w14:paraId="1688F625" w14:textId="7D2C8B3B" w:rsidR="00142B75" w:rsidRDefault="00142B75" w:rsidP="002329DC">
            <w:pPr>
              <w:pStyle w:val="BodyText"/>
              <w:jc w:val="center"/>
            </w:pPr>
            <w:r>
              <w:t>4</w:t>
            </w:r>
          </w:p>
        </w:tc>
        <w:tc>
          <w:tcPr>
            <w:tcW w:w="2635" w:type="dxa"/>
            <w:tcBorders>
              <w:left w:val="nil"/>
              <w:bottom w:val="nil"/>
            </w:tcBorders>
          </w:tcPr>
          <w:p w14:paraId="1F57AA42" w14:textId="0EC8B221" w:rsidR="00142B75" w:rsidRDefault="00142B75" w:rsidP="002329DC">
            <w:pPr>
              <w:pStyle w:val="BodyText"/>
              <w:jc w:val="center"/>
            </w:pPr>
            <w:r>
              <w:t>8.3%</w:t>
            </w:r>
          </w:p>
        </w:tc>
      </w:tr>
      <w:tr w:rsidR="00142B75" w14:paraId="6443FFFE" w14:textId="77777777" w:rsidTr="00142B75">
        <w:tc>
          <w:tcPr>
            <w:tcW w:w="2550" w:type="dxa"/>
            <w:tcBorders>
              <w:top w:val="nil"/>
              <w:right w:val="nil"/>
            </w:tcBorders>
          </w:tcPr>
          <w:p w14:paraId="77C2E0EC" w14:textId="2491B6BD" w:rsidR="00142B75" w:rsidRDefault="00142B75" w:rsidP="002329DC">
            <w:pPr>
              <w:pStyle w:val="BodyText"/>
              <w:jc w:val="center"/>
            </w:pPr>
            <w:r>
              <w:t>Patuh</w:t>
            </w:r>
          </w:p>
        </w:tc>
        <w:tc>
          <w:tcPr>
            <w:tcW w:w="2645" w:type="dxa"/>
            <w:tcBorders>
              <w:top w:val="nil"/>
              <w:left w:val="nil"/>
              <w:right w:val="nil"/>
            </w:tcBorders>
          </w:tcPr>
          <w:p w14:paraId="0A3BA84A" w14:textId="0D51D717" w:rsidR="00142B75" w:rsidRDefault="00142B75" w:rsidP="002329DC">
            <w:pPr>
              <w:pStyle w:val="BodyText"/>
              <w:jc w:val="center"/>
            </w:pPr>
            <w:r>
              <w:t>44</w:t>
            </w:r>
          </w:p>
        </w:tc>
        <w:tc>
          <w:tcPr>
            <w:tcW w:w="2635" w:type="dxa"/>
            <w:tcBorders>
              <w:top w:val="nil"/>
              <w:left w:val="nil"/>
            </w:tcBorders>
          </w:tcPr>
          <w:p w14:paraId="2DB3C2C6" w14:textId="44664580" w:rsidR="00142B75" w:rsidRDefault="00142B75" w:rsidP="002329DC">
            <w:pPr>
              <w:pStyle w:val="BodyText"/>
              <w:jc w:val="center"/>
            </w:pPr>
            <w:r>
              <w:t>91.7%</w:t>
            </w:r>
          </w:p>
        </w:tc>
      </w:tr>
      <w:tr w:rsidR="00142B75" w14:paraId="3EC2E7A3" w14:textId="77777777" w:rsidTr="00142B75">
        <w:tc>
          <w:tcPr>
            <w:tcW w:w="2550" w:type="dxa"/>
            <w:tcBorders>
              <w:right w:val="nil"/>
            </w:tcBorders>
          </w:tcPr>
          <w:p w14:paraId="1FC099DA" w14:textId="27016FD8" w:rsidR="00142B75" w:rsidRPr="00142B75" w:rsidRDefault="00142B75" w:rsidP="002329DC">
            <w:pPr>
              <w:pStyle w:val="BodyText"/>
              <w:jc w:val="center"/>
              <w:rPr>
                <w:b/>
                <w:bCs/>
              </w:rPr>
            </w:pPr>
            <w:r>
              <w:rPr>
                <w:b/>
                <w:bCs/>
              </w:rPr>
              <w:t>Total</w:t>
            </w:r>
          </w:p>
        </w:tc>
        <w:tc>
          <w:tcPr>
            <w:tcW w:w="2645" w:type="dxa"/>
            <w:tcBorders>
              <w:left w:val="nil"/>
              <w:right w:val="nil"/>
            </w:tcBorders>
          </w:tcPr>
          <w:p w14:paraId="3ADB0D39" w14:textId="6507C8D9" w:rsidR="00142B75" w:rsidRPr="00142B75" w:rsidRDefault="00142B75" w:rsidP="002329DC">
            <w:pPr>
              <w:pStyle w:val="BodyText"/>
              <w:jc w:val="center"/>
              <w:rPr>
                <w:b/>
                <w:bCs/>
              </w:rPr>
            </w:pPr>
            <w:r>
              <w:rPr>
                <w:b/>
                <w:bCs/>
              </w:rPr>
              <w:t>48</w:t>
            </w:r>
          </w:p>
        </w:tc>
        <w:tc>
          <w:tcPr>
            <w:tcW w:w="2635" w:type="dxa"/>
            <w:tcBorders>
              <w:left w:val="nil"/>
            </w:tcBorders>
          </w:tcPr>
          <w:p w14:paraId="0097130F" w14:textId="3098BBBA" w:rsidR="00142B75" w:rsidRPr="00142B75" w:rsidRDefault="00142B75" w:rsidP="002329DC">
            <w:pPr>
              <w:pStyle w:val="BodyText"/>
              <w:jc w:val="center"/>
              <w:rPr>
                <w:b/>
                <w:bCs/>
              </w:rPr>
            </w:pPr>
            <w:r>
              <w:rPr>
                <w:b/>
                <w:bCs/>
              </w:rPr>
              <w:t>100.0%</w:t>
            </w:r>
          </w:p>
        </w:tc>
      </w:tr>
    </w:tbl>
    <w:p w14:paraId="4FAE0DE8" w14:textId="77777777" w:rsidR="00B62D91" w:rsidRPr="00B62D91" w:rsidRDefault="00142B75" w:rsidP="00B62D91">
      <w:pPr>
        <w:pStyle w:val="BodyText"/>
        <w:spacing w:line="360" w:lineRule="auto"/>
        <w:ind w:left="1530"/>
        <w:jc w:val="both"/>
        <w:rPr>
          <w:lang w:val="en-US"/>
        </w:rPr>
      </w:pPr>
      <w:r w:rsidRPr="00142B75">
        <w:t>Berdasarkan tabe</w:t>
      </w:r>
      <w:r>
        <w:t>l 4.8</w:t>
      </w:r>
      <w:r w:rsidR="00B62D91" w:rsidRPr="00B62D91">
        <w:rPr>
          <w:lang w:val="en-US"/>
        </w:rPr>
        <w:t xml:space="preserve">Sebagian </w:t>
      </w:r>
      <w:proofErr w:type="spellStart"/>
      <w:r w:rsidR="00B62D91" w:rsidRPr="00B62D91">
        <w:rPr>
          <w:lang w:val="en-US"/>
        </w:rPr>
        <w:t>besar</w:t>
      </w:r>
      <w:proofErr w:type="spellEnd"/>
      <w:r w:rsidR="00B62D91" w:rsidRPr="00B62D91">
        <w:rPr>
          <w:lang w:val="en-US"/>
        </w:rPr>
        <w:t xml:space="preserve"> </w:t>
      </w:r>
      <w:proofErr w:type="spellStart"/>
      <w:r w:rsidR="00B62D91" w:rsidRPr="00B62D91">
        <w:rPr>
          <w:lang w:val="en-US"/>
        </w:rPr>
        <w:t>responden</w:t>
      </w:r>
      <w:proofErr w:type="spellEnd"/>
      <w:r w:rsidR="00B62D91" w:rsidRPr="00B62D91">
        <w:rPr>
          <w:lang w:val="en-US"/>
        </w:rPr>
        <w:t xml:space="preserve"> </w:t>
      </w:r>
      <w:proofErr w:type="spellStart"/>
      <w:r w:rsidR="00B62D91" w:rsidRPr="00B62D91">
        <w:rPr>
          <w:lang w:val="en-US"/>
        </w:rPr>
        <w:t>tergolong</w:t>
      </w:r>
      <w:proofErr w:type="spellEnd"/>
      <w:r w:rsidR="00B62D91" w:rsidRPr="00B62D91">
        <w:rPr>
          <w:lang w:val="en-US"/>
        </w:rPr>
        <w:t xml:space="preserve"> </w:t>
      </w:r>
      <w:proofErr w:type="spellStart"/>
      <w:r w:rsidR="00B62D91" w:rsidRPr="00B62D91">
        <w:rPr>
          <w:lang w:val="en-US"/>
        </w:rPr>
        <w:t>patuh</w:t>
      </w:r>
      <w:proofErr w:type="spellEnd"/>
      <w:r w:rsidR="00B62D91" w:rsidRPr="00B62D91">
        <w:rPr>
          <w:lang w:val="en-US"/>
        </w:rPr>
        <w:t xml:space="preserve"> </w:t>
      </w:r>
      <w:proofErr w:type="spellStart"/>
      <w:r w:rsidR="00B62D91" w:rsidRPr="00B62D91">
        <w:rPr>
          <w:lang w:val="en-US"/>
        </w:rPr>
        <w:t>menjalani</w:t>
      </w:r>
      <w:proofErr w:type="spellEnd"/>
      <w:r w:rsidR="00B62D91" w:rsidRPr="00B62D91">
        <w:rPr>
          <w:lang w:val="en-US"/>
        </w:rPr>
        <w:t xml:space="preserve"> </w:t>
      </w:r>
      <w:proofErr w:type="spellStart"/>
      <w:r w:rsidR="00B62D91" w:rsidRPr="00B62D91">
        <w:rPr>
          <w:lang w:val="en-US"/>
        </w:rPr>
        <w:t>hemodialisis</w:t>
      </w:r>
      <w:proofErr w:type="spellEnd"/>
      <w:r w:rsidR="00B62D91" w:rsidRPr="00B62D91">
        <w:rPr>
          <w:lang w:val="en-US"/>
        </w:rPr>
        <w:t xml:space="preserve"> (91,7%), </w:t>
      </w:r>
      <w:proofErr w:type="spellStart"/>
      <w:r w:rsidR="00B62D91" w:rsidRPr="00B62D91">
        <w:rPr>
          <w:lang w:val="en-US"/>
        </w:rPr>
        <w:t>sementara</w:t>
      </w:r>
      <w:proofErr w:type="spellEnd"/>
      <w:r w:rsidR="00B62D91" w:rsidRPr="00B62D91">
        <w:rPr>
          <w:lang w:val="en-US"/>
        </w:rPr>
        <w:t xml:space="preserve"> 8,3% </w:t>
      </w:r>
      <w:proofErr w:type="spellStart"/>
      <w:r w:rsidR="00B62D91" w:rsidRPr="00B62D91">
        <w:rPr>
          <w:lang w:val="en-US"/>
        </w:rPr>
        <w:t>tidak</w:t>
      </w:r>
      <w:proofErr w:type="spellEnd"/>
      <w:r w:rsidR="00B62D91" w:rsidRPr="00B62D91">
        <w:rPr>
          <w:lang w:val="en-US"/>
        </w:rPr>
        <w:t xml:space="preserve"> </w:t>
      </w:r>
      <w:proofErr w:type="spellStart"/>
      <w:r w:rsidR="00B62D91" w:rsidRPr="00B62D91">
        <w:rPr>
          <w:lang w:val="en-US"/>
        </w:rPr>
        <w:t>patuh</w:t>
      </w:r>
      <w:proofErr w:type="spellEnd"/>
      <w:r w:rsidR="00B62D91" w:rsidRPr="00B62D91">
        <w:rPr>
          <w:lang w:val="en-US"/>
        </w:rPr>
        <w:t xml:space="preserve">. </w:t>
      </w:r>
      <w:proofErr w:type="spellStart"/>
      <w:r w:rsidR="00B62D91" w:rsidRPr="00B62D91">
        <w:rPr>
          <w:lang w:val="en-US"/>
        </w:rPr>
        <w:t>Tingginya</w:t>
      </w:r>
      <w:proofErr w:type="spellEnd"/>
      <w:r w:rsidR="00B62D91" w:rsidRPr="00B62D91">
        <w:rPr>
          <w:lang w:val="en-US"/>
        </w:rPr>
        <w:t xml:space="preserve"> </w:t>
      </w:r>
      <w:proofErr w:type="spellStart"/>
      <w:r w:rsidR="00B62D91" w:rsidRPr="00B62D91">
        <w:rPr>
          <w:lang w:val="en-US"/>
        </w:rPr>
        <w:t>kepatuhan</w:t>
      </w:r>
      <w:proofErr w:type="spellEnd"/>
      <w:r w:rsidR="00B62D91" w:rsidRPr="00B62D91">
        <w:rPr>
          <w:lang w:val="en-US"/>
        </w:rPr>
        <w:t xml:space="preserve"> </w:t>
      </w:r>
      <w:proofErr w:type="spellStart"/>
      <w:r w:rsidR="00B62D91" w:rsidRPr="00B62D91">
        <w:rPr>
          <w:lang w:val="en-US"/>
        </w:rPr>
        <w:t>ini</w:t>
      </w:r>
      <w:proofErr w:type="spellEnd"/>
      <w:r w:rsidR="00B62D91" w:rsidRPr="00B62D91">
        <w:rPr>
          <w:lang w:val="en-US"/>
        </w:rPr>
        <w:t xml:space="preserve"> </w:t>
      </w:r>
      <w:proofErr w:type="spellStart"/>
      <w:r w:rsidR="00B62D91" w:rsidRPr="00B62D91">
        <w:rPr>
          <w:lang w:val="en-US"/>
        </w:rPr>
        <w:t>dipengaruhi</w:t>
      </w:r>
      <w:proofErr w:type="spellEnd"/>
      <w:r w:rsidR="00B62D91" w:rsidRPr="00B62D91">
        <w:rPr>
          <w:lang w:val="en-US"/>
        </w:rPr>
        <w:t xml:space="preserve"> oleh </w:t>
      </w:r>
      <w:proofErr w:type="spellStart"/>
      <w:r w:rsidR="00B62D91" w:rsidRPr="00B62D91">
        <w:rPr>
          <w:lang w:val="en-US"/>
        </w:rPr>
        <w:t>faktor</w:t>
      </w:r>
      <w:proofErr w:type="spellEnd"/>
      <w:r w:rsidR="00B62D91" w:rsidRPr="00B62D91">
        <w:rPr>
          <w:lang w:val="en-US"/>
        </w:rPr>
        <w:t xml:space="preserve"> </w:t>
      </w:r>
      <w:proofErr w:type="spellStart"/>
      <w:r w:rsidR="00B62D91" w:rsidRPr="00B62D91">
        <w:rPr>
          <w:lang w:val="en-US"/>
        </w:rPr>
        <w:t>pengetahuan</w:t>
      </w:r>
      <w:proofErr w:type="spellEnd"/>
      <w:r w:rsidR="00B62D91" w:rsidRPr="00B62D91">
        <w:rPr>
          <w:lang w:val="en-US"/>
        </w:rPr>
        <w:t xml:space="preserve">, </w:t>
      </w:r>
      <w:proofErr w:type="spellStart"/>
      <w:r w:rsidR="00B62D91" w:rsidRPr="00B62D91">
        <w:rPr>
          <w:lang w:val="en-US"/>
        </w:rPr>
        <w:t>motivasi</w:t>
      </w:r>
      <w:proofErr w:type="spellEnd"/>
      <w:r w:rsidR="00B62D91" w:rsidRPr="00B62D91">
        <w:rPr>
          <w:lang w:val="en-US"/>
        </w:rPr>
        <w:t xml:space="preserve">, </w:t>
      </w:r>
      <w:proofErr w:type="spellStart"/>
      <w:r w:rsidR="00B62D91" w:rsidRPr="00B62D91">
        <w:rPr>
          <w:lang w:val="en-US"/>
        </w:rPr>
        <w:t>dukungan</w:t>
      </w:r>
      <w:proofErr w:type="spellEnd"/>
      <w:r w:rsidR="00B62D91" w:rsidRPr="00B62D91">
        <w:rPr>
          <w:lang w:val="en-US"/>
        </w:rPr>
        <w:t xml:space="preserve"> </w:t>
      </w:r>
      <w:proofErr w:type="spellStart"/>
      <w:r w:rsidR="00B62D91" w:rsidRPr="00B62D91">
        <w:rPr>
          <w:lang w:val="en-US"/>
        </w:rPr>
        <w:t>keluarga</w:t>
      </w:r>
      <w:proofErr w:type="spellEnd"/>
      <w:r w:rsidR="00B62D91" w:rsidRPr="00B62D91">
        <w:rPr>
          <w:lang w:val="en-US"/>
        </w:rPr>
        <w:t xml:space="preserve">, </w:t>
      </w:r>
      <w:proofErr w:type="spellStart"/>
      <w:r w:rsidR="00B62D91" w:rsidRPr="00B62D91">
        <w:rPr>
          <w:lang w:val="en-US"/>
        </w:rPr>
        <w:t>serta</w:t>
      </w:r>
      <w:proofErr w:type="spellEnd"/>
      <w:r w:rsidR="00B62D91" w:rsidRPr="00B62D91">
        <w:rPr>
          <w:lang w:val="en-US"/>
        </w:rPr>
        <w:t xml:space="preserve"> </w:t>
      </w:r>
      <w:proofErr w:type="spellStart"/>
      <w:r w:rsidR="00B62D91" w:rsidRPr="00B62D91">
        <w:rPr>
          <w:lang w:val="en-US"/>
        </w:rPr>
        <w:t>hubungan</w:t>
      </w:r>
      <w:proofErr w:type="spellEnd"/>
      <w:r w:rsidR="00B62D91" w:rsidRPr="00B62D91">
        <w:rPr>
          <w:lang w:val="en-US"/>
        </w:rPr>
        <w:t xml:space="preserve"> </w:t>
      </w:r>
      <w:proofErr w:type="spellStart"/>
      <w:r w:rsidR="00B62D91" w:rsidRPr="00B62D91">
        <w:rPr>
          <w:lang w:val="en-US"/>
        </w:rPr>
        <w:t>baik</w:t>
      </w:r>
      <w:proofErr w:type="spellEnd"/>
      <w:r w:rsidR="00B62D91" w:rsidRPr="00B62D91">
        <w:rPr>
          <w:lang w:val="en-US"/>
        </w:rPr>
        <w:t xml:space="preserve"> </w:t>
      </w:r>
      <w:proofErr w:type="spellStart"/>
      <w:r w:rsidR="00B62D91" w:rsidRPr="00B62D91">
        <w:rPr>
          <w:lang w:val="en-US"/>
        </w:rPr>
        <w:t>dengan</w:t>
      </w:r>
      <w:proofErr w:type="spellEnd"/>
      <w:r w:rsidR="00B62D91" w:rsidRPr="00B62D91">
        <w:rPr>
          <w:lang w:val="en-US"/>
        </w:rPr>
        <w:t xml:space="preserve"> </w:t>
      </w:r>
      <w:proofErr w:type="spellStart"/>
      <w:r w:rsidR="00B62D91" w:rsidRPr="00B62D91">
        <w:rPr>
          <w:lang w:val="en-US"/>
        </w:rPr>
        <w:t>tenaga</w:t>
      </w:r>
      <w:proofErr w:type="spellEnd"/>
      <w:r w:rsidR="00B62D91" w:rsidRPr="00B62D91">
        <w:rPr>
          <w:lang w:val="en-US"/>
        </w:rPr>
        <w:t xml:space="preserve"> </w:t>
      </w:r>
      <w:proofErr w:type="spellStart"/>
      <w:r w:rsidR="00B62D91" w:rsidRPr="00B62D91">
        <w:rPr>
          <w:lang w:val="en-US"/>
        </w:rPr>
        <w:t>kesehatan</w:t>
      </w:r>
      <w:proofErr w:type="spellEnd"/>
      <w:r w:rsidR="00B62D91" w:rsidRPr="00B62D91">
        <w:rPr>
          <w:lang w:val="en-US"/>
        </w:rPr>
        <w:t>.</w:t>
      </w:r>
    </w:p>
    <w:p w14:paraId="213085C4" w14:textId="77777777" w:rsidR="004D44D2" w:rsidRDefault="004D44D2">
      <w:pPr>
        <w:rPr>
          <w:rFonts w:ascii="Times New Roman" w:eastAsia="Times New Roman" w:hAnsi="Times New Roman" w:cs="Times New Roman"/>
          <w:kern w:val="0"/>
          <w:lang w:val="id"/>
          <w14:ligatures w14:val="none"/>
        </w:rPr>
      </w:pPr>
      <w:r>
        <w:br w:type="page"/>
      </w:r>
    </w:p>
    <w:p w14:paraId="5FDA01F6" w14:textId="793FD738" w:rsidR="00142B75" w:rsidRDefault="00142B75" w:rsidP="00142B75">
      <w:pPr>
        <w:pStyle w:val="BodyText"/>
        <w:numPr>
          <w:ilvl w:val="0"/>
          <w:numId w:val="4"/>
        </w:numPr>
        <w:spacing w:line="360" w:lineRule="auto"/>
        <w:jc w:val="both"/>
      </w:pPr>
      <w:r>
        <w:lastRenderedPageBreak/>
        <w:t>Kualitas hidup pasien gagal ginjal kronik</w:t>
      </w:r>
    </w:p>
    <w:p w14:paraId="7A375AEB" w14:textId="1D6413E3" w:rsidR="00142B75" w:rsidRDefault="00142B75" w:rsidP="00142B75">
      <w:pPr>
        <w:pStyle w:val="BodyText"/>
        <w:spacing w:line="360" w:lineRule="auto"/>
        <w:ind w:left="1530"/>
        <w:jc w:val="center"/>
      </w:pPr>
      <w:r>
        <w:t>Distribusi frekuensi</w:t>
      </w:r>
      <w:r w:rsidR="00F20267">
        <w:t xml:space="preserve"> dan presentase berdasarkan kualitas hidup pasien gagal ginjal kronik</w:t>
      </w:r>
    </w:p>
    <w:tbl>
      <w:tblPr>
        <w:tblStyle w:val="TableGrid"/>
        <w:tblW w:w="0" w:type="auto"/>
        <w:tblInd w:w="1530" w:type="dxa"/>
        <w:tblBorders>
          <w:left w:val="none" w:sz="0" w:space="0" w:color="auto"/>
          <w:right w:val="none" w:sz="0" w:space="0" w:color="auto"/>
        </w:tblBorders>
        <w:tblLook w:val="04A0" w:firstRow="1" w:lastRow="0" w:firstColumn="1" w:lastColumn="0" w:noHBand="0" w:noVBand="1"/>
      </w:tblPr>
      <w:tblGrid>
        <w:gridCol w:w="2455"/>
        <w:gridCol w:w="2527"/>
        <w:gridCol w:w="2515"/>
      </w:tblGrid>
      <w:tr w:rsidR="00F20267" w14:paraId="3122D150" w14:textId="77777777" w:rsidTr="00F20267">
        <w:tc>
          <w:tcPr>
            <w:tcW w:w="2574" w:type="dxa"/>
            <w:tcBorders>
              <w:bottom w:val="single" w:sz="4" w:space="0" w:color="auto"/>
              <w:right w:val="nil"/>
            </w:tcBorders>
          </w:tcPr>
          <w:p w14:paraId="501DA4DE" w14:textId="77777777" w:rsidR="00F20267" w:rsidRDefault="00F20267" w:rsidP="002329DC">
            <w:pPr>
              <w:pStyle w:val="BodyText"/>
              <w:jc w:val="center"/>
            </w:pPr>
          </w:p>
        </w:tc>
        <w:tc>
          <w:tcPr>
            <w:tcW w:w="2633" w:type="dxa"/>
            <w:tcBorders>
              <w:left w:val="nil"/>
              <w:bottom w:val="single" w:sz="4" w:space="0" w:color="auto"/>
              <w:right w:val="nil"/>
            </w:tcBorders>
          </w:tcPr>
          <w:p w14:paraId="1C4AAC1F" w14:textId="43FDC10D" w:rsidR="00F20267" w:rsidRDefault="00F20267" w:rsidP="002329DC">
            <w:pPr>
              <w:pStyle w:val="BodyText"/>
              <w:jc w:val="center"/>
            </w:pPr>
            <w:r>
              <w:t>Frekuensi</w:t>
            </w:r>
          </w:p>
        </w:tc>
        <w:tc>
          <w:tcPr>
            <w:tcW w:w="2623" w:type="dxa"/>
            <w:tcBorders>
              <w:left w:val="nil"/>
              <w:bottom w:val="single" w:sz="4" w:space="0" w:color="auto"/>
            </w:tcBorders>
          </w:tcPr>
          <w:p w14:paraId="77B9E212" w14:textId="7DB5D6C8" w:rsidR="00F20267" w:rsidRDefault="00F20267" w:rsidP="002329DC">
            <w:pPr>
              <w:pStyle w:val="BodyText"/>
              <w:jc w:val="center"/>
            </w:pPr>
            <w:r>
              <w:t>Persent%</w:t>
            </w:r>
          </w:p>
        </w:tc>
      </w:tr>
      <w:tr w:rsidR="00F20267" w14:paraId="19313954" w14:textId="77777777" w:rsidTr="00F20267">
        <w:tc>
          <w:tcPr>
            <w:tcW w:w="2574" w:type="dxa"/>
            <w:tcBorders>
              <w:bottom w:val="nil"/>
              <w:right w:val="nil"/>
            </w:tcBorders>
          </w:tcPr>
          <w:p w14:paraId="1FC4BECF" w14:textId="767D9C0C" w:rsidR="00F20267" w:rsidRDefault="00F20267" w:rsidP="002329DC">
            <w:pPr>
              <w:pStyle w:val="BodyText"/>
              <w:jc w:val="center"/>
            </w:pPr>
            <w:r>
              <w:t>Sedang</w:t>
            </w:r>
          </w:p>
        </w:tc>
        <w:tc>
          <w:tcPr>
            <w:tcW w:w="2633" w:type="dxa"/>
            <w:tcBorders>
              <w:left w:val="nil"/>
              <w:bottom w:val="nil"/>
              <w:right w:val="nil"/>
            </w:tcBorders>
          </w:tcPr>
          <w:p w14:paraId="59D8CF62" w14:textId="48D6B02A" w:rsidR="00F20267" w:rsidRDefault="00F20267" w:rsidP="002329DC">
            <w:pPr>
              <w:pStyle w:val="BodyText"/>
              <w:jc w:val="center"/>
            </w:pPr>
            <w:r>
              <w:t>4</w:t>
            </w:r>
          </w:p>
        </w:tc>
        <w:tc>
          <w:tcPr>
            <w:tcW w:w="2623" w:type="dxa"/>
            <w:tcBorders>
              <w:left w:val="nil"/>
              <w:bottom w:val="nil"/>
            </w:tcBorders>
          </w:tcPr>
          <w:p w14:paraId="6D98C7AD" w14:textId="2A434D01" w:rsidR="00F20267" w:rsidRDefault="00F20267" w:rsidP="002329DC">
            <w:pPr>
              <w:pStyle w:val="BodyText"/>
              <w:jc w:val="center"/>
            </w:pPr>
            <w:r>
              <w:t>8.3%</w:t>
            </w:r>
          </w:p>
        </w:tc>
      </w:tr>
      <w:tr w:rsidR="00F20267" w14:paraId="2FDE9996" w14:textId="77777777" w:rsidTr="00F20267">
        <w:tc>
          <w:tcPr>
            <w:tcW w:w="2574" w:type="dxa"/>
            <w:tcBorders>
              <w:top w:val="nil"/>
              <w:right w:val="nil"/>
            </w:tcBorders>
          </w:tcPr>
          <w:p w14:paraId="1070FA33" w14:textId="234E1F6A" w:rsidR="00F20267" w:rsidRDefault="00F20267" w:rsidP="002329DC">
            <w:pPr>
              <w:pStyle w:val="BodyText"/>
              <w:jc w:val="center"/>
            </w:pPr>
            <w:r>
              <w:t>Baik</w:t>
            </w:r>
          </w:p>
        </w:tc>
        <w:tc>
          <w:tcPr>
            <w:tcW w:w="2633" w:type="dxa"/>
            <w:tcBorders>
              <w:top w:val="nil"/>
              <w:left w:val="nil"/>
              <w:right w:val="nil"/>
            </w:tcBorders>
          </w:tcPr>
          <w:p w14:paraId="593B3039" w14:textId="4BFFCF5A" w:rsidR="00F20267" w:rsidRDefault="00F20267" w:rsidP="002329DC">
            <w:pPr>
              <w:pStyle w:val="BodyText"/>
              <w:jc w:val="center"/>
            </w:pPr>
            <w:r>
              <w:t>44</w:t>
            </w:r>
          </w:p>
        </w:tc>
        <w:tc>
          <w:tcPr>
            <w:tcW w:w="2623" w:type="dxa"/>
            <w:tcBorders>
              <w:top w:val="nil"/>
              <w:left w:val="nil"/>
            </w:tcBorders>
          </w:tcPr>
          <w:p w14:paraId="4EB5CF4D" w14:textId="2AD87455" w:rsidR="00F20267" w:rsidRDefault="00F20267" w:rsidP="002329DC">
            <w:pPr>
              <w:pStyle w:val="BodyText"/>
              <w:jc w:val="center"/>
            </w:pPr>
            <w:r>
              <w:t>91.7%</w:t>
            </w:r>
          </w:p>
        </w:tc>
      </w:tr>
      <w:tr w:rsidR="00F20267" w14:paraId="7AFA3F29" w14:textId="77777777" w:rsidTr="00F20267">
        <w:tc>
          <w:tcPr>
            <w:tcW w:w="2574" w:type="dxa"/>
            <w:tcBorders>
              <w:right w:val="nil"/>
            </w:tcBorders>
          </w:tcPr>
          <w:p w14:paraId="09B6D674" w14:textId="5A92B280" w:rsidR="00F20267" w:rsidRPr="00F20267" w:rsidRDefault="00F20267" w:rsidP="002329DC">
            <w:pPr>
              <w:pStyle w:val="BodyText"/>
              <w:jc w:val="center"/>
              <w:rPr>
                <w:b/>
                <w:bCs/>
              </w:rPr>
            </w:pPr>
            <w:r>
              <w:rPr>
                <w:b/>
                <w:bCs/>
              </w:rPr>
              <w:t>Total</w:t>
            </w:r>
          </w:p>
        </w:tc>
        <w:tc>
          <w:tcPr>
            <w:tcW w:w="2633" w:type="dxa"/>
            <w:tcBorders>
              <w:left w:val="nil"/>
              <w:right w:val="nil"/>
            </w:tcBorders>
          </w:tcPr>
          <w:p w14:paraId="464DD424" w14:textId="57848306" w:rsidR="00F20267" w:rsidRPr="00F20267" w:rsidRDefault="00F20267" w:rsidP="002329DC">
            <w:pPr>
              <w:pStyle w:val="BodyText"/>
              <w:jc w:val="center"/>
              <w:rPr>
                <w:b/>
                <w:bCs/>
              </w:rPr>
            </w:pPr>
            <w:r>
              <w:rPr>
                <w:b/>
                <w:bCs/>
              </w:rPr>
              <w:t>48</w:t>
            </w:r>
          </w:p>
        </w:tc>
        <w:tc>
          <w:tcPr>
            <w:tcW w:w="2623" w:type="dxa"/>
            <w:tcBorders>
              <w:left w:val="nil"/>
            </w:tcBorders>
          </w:tcPr>
          <w:p w14:paraId="32D0452B" w14:textId="14EE1DB5" w:rsidR="00F20267" w:rsidRPr="00F20267" w:rsidRDefault="00F20267" w:rsidP="002329DC">
            <w:pPr>
              <w:pStyle w:val="BodyText"/>
              <w:jc w:val="center"/>
              <w:rPr>
                <w:b/>
                <w:bCs/>
              </w:rPr>
            </w:pPr>
            <w:r>
              <w:rPr>
                <w:b/>
                <w:bCs/>
              </w:rPr>
              <w:t>100.0%</w:t>
            </w:r>
          </w:p>
        </w:tc>
      </w:tr>
    </w:tbl>
    <w:p w14:paraId="6440AEAE" w14:textId="0EB33A7D" w:rsidR="00325339" w:rsidRDefault="00F20267" w:rsidP="00325339">
      <w:pPr>
        <w:pStyle w:val="BodyText"/>
        <w:spacing w:line="360" w:lineRule="auto"/>
        <w:ind w:left="1530"/>
        <w:jc w:val="both"/>
        <w:rPr>
          <w:lang w:val="en-US"/>
        </w:rPr>
      </w:pPr>
      <w:r w:rsidRPr="00F20267">
        <w:t xml:space="preserve">Hasil penelitian </w:t>
      </w:r>
      <w:r>
        <w:t xml:space="preserve">4.9 </w:t>
      </w:r>
      <w:r w:rsidR="00B62D91" w:rsidRPr="00B62D91">
        <w:rPr>
          <w:lang w:val="en-US"/>
        </w:rPr>
        <w:t xml:space="preserve">Sebagian </w:t>
      </w:r>
      <w:proofErr w:type="spellStart"/>
      <w:r w:rsidR="00B62D91" w:rsidRPr="00B62D91">
        <w:rPr>
          <w:lang w:val="en-US"/>
        </w:rPr>
        <w:t>besar</w:t>
      </w:r>
      <w:proofErr w:type="spellEnd"/>
      <w:r w:rsidR="00B62D91" w:rsidRPr="00B62D91">
        <w:rPr>
          <w:lang w:val="en-US"/>
        </w:rPr>
        <w:t xml:space="preserve"> </w:t>
      </w:r>
      <w:proofErr w:type="spellStart"/>
      <w:r w:rsidR="00B62D91" w:rsidRPr="00B62D91">
        <w:rPr>
          <w:lang w:val="en-US"/>
        </w:rPr>
        <w:t>pasien</w:t>
      </w:r>
      <w:proofErr w:type="spellEnd"/>
      <w:r w:rsidR="00B62D91" w:rsidRPr="00B62D91">
        <w:rPr>
          <w:lang w:val="en-US"/>
        </w:rPr>
        <w:t xml:space="preserve"> </w:t>
      </w:r>
      <w:proofErr w:type="spellStart"/>
      <w:r w:rsidR="00B62D91" w:rsidRPr="00B62D91">
        <w:rPr>
          <w:lang w:val="en-US"/>
        </w:rPr>
        <w:t>melaporkan</w:t>
      </w:r>
      <w:proofErr w:type="spellEnd"/>
      <w:r w:rsidR="00B62D91" w:rsidRPr="00B62D91">
        <w:rPr>
          <w:lang w:val="en-US"/>
        </w:rPr>
        <w:t xml:space="preserve"> </w:t>
      </w:r>
      <w:proofErr w:type="spellStart"/>
      <w:r w:rsidR="00B62D91" w:rsidRPr="00B62D91">
        <w:rPr>
          <w:lang w:val="en-US"/>
        </w:rPr>
        <w:t>kualitas</w:t>
      </w:r>
      <w:proofErr w:type="spellEnd"/>
      <w:r w:rsidR="00B62D91" w:rsidRPr="00B62D91">
        <w:rPr>
          <w:lang w:val="en-US"/>
        </w:rPr>
        <w:t xml:space="preserve"> </w:t>
      </w:r>
      <w:proofErr w:type="spellStart"/>
      <w:r w:rsidR="00B62D91" w:rsidRPr="00B62D91">
        <w:rPr>
          <w:lang w:val="en-US"/>
        </w:rPr>
        <w:t>hidup</w:t>
      </w:r>
      <w:proofErr w:type="spellEnd"/>
      <w:r w:rsidR="00B62D91" w:rsidRPr="00B62D91">
        <w:rPr>
          <w:lang w:val="en-US"/>
        </w:rPr>
        <w:t xml:space="preserve"> yang </w:t>
      </w:r>
      <w:proofErr w:type="spellStart"/>
      <w:r w:rsidR="00B62D91" w:rsidRPr="00B62D91">
        <w:rPr>
          <w:lang w:val="en-US"/>
        </w:rPr>
        <w:t>baik</w:t>
      </w:r>
      <w:proofErr w:type="spellEnd"/>
      <w:r w:rsidR="00B62D91" w:rsidRPr="00B62D91">
        <w:rPr>
          <w:lang w:val="en-US"/>
        </w:rPr>
        <w:t xml:space="preserve"> (91,7%), </w:t>
      </w:r>
      <w:proofErr w:type="spellStart"/>
      <w:r w:rsidR="00B62D91" w:rsidRPr="00B62D91">
        <w:rPr>
          <w:lang w:val="en-US"/>
        </w:rPr>
        <w:t>sedangkan</w:t>
      </w:r>
      <w:proofErr w:type="spellEnd"/>
      <w:r w:rsidR="00B62D91" w:rsidRPr="00B62D91">
        <w:rPr>
          <w:lang w:val="en-US"/>
        </w:rPr>
        <w:t xml:space="preserve"> 8,3% </w:t>
      </w:r>
      <w:proofErr w:type="spellStart"/>
      <w:r w:rsidR="00B62D91" w:rsidRPr="00B62D91">
        <w:rPr>
          <w:lang w:val="en-US"/>
        </w:rPr>
        <w:t>berada</w:t>
      </w:r>
      <w:proofErr w:type="spellEnd"/>
      <w:r w:rsidR="00B62D91" w:rsidRPr="00B62D91">
        <w:rPr>
          <w:lang w:val="en-US"/>
        </w:rPr>
        <w:t xml:space="preserve"> pada </w:t>
      </w:r>
      <w:proofErr w:type="spellStart"/>
      <w:r w:rsidR="00B62D91" w:rsidRPr="00B62D91">
        <w:rPr>
          <w:lang w:val="en-US"/>
        </w:rPr>
        <w:t>kategori</w:t>
      </w:r>
      <w:proofErr w:type="spellEnd"/>
      <w:r w:rsidR="00B62D91" w:rsidRPr="00B62D91">
        <w:rPr>
          <w:lang w:val="en-US"/>
        </w:rPr>
        <w:t xml:space="preserve"> </w:t>
      </w:r>
      <w:proofErr w:type="spellStart"/>
      <w:r w:rsidR="00B62D91" w:rsidRPr="00B62D91">
        <w:rPr>
          <w:lang w:val="en-US"/>
        </w:rPr>
        <w:t>sedang</w:t>
      </w:r>
      <w:proofErr w:type="spellEnd"/>
      <w:r w:rsidR="00B62D91" w:rsidRPr="00B62D91">
        <w:rPr>
          <w:lang w:val="en-US"/>
        </w:rPr>
        <w:t xml:space="preserve">. Faktor yang </w:t>
      </w:r>
      <w:proofErr w:type="spellStart"/>
      <w:r w:rsidR="00B62D91" w:rsidRPr="00B62D91">
        <w:rPr>
          <w:lang w:val="en-US"/>
        </w:rPr>
        <w:t>memengaruhi</w:t>
      </w:r>
      <w:proofErr w:type="spellEnd"/>
      <w:r w:rsidR="00B62D91" w:rsidRPr="00B62D91">
        <w:rPr>
          <w:lang w:val="en-US"/>
        </w:rPr>
        <w:t xml:space="preserve"> </w:t>
      </w:r>
      <w:proofErr w:type="spellStart"/>
      <w:r w:rsidR="00B62D91" w:rsidRPr="00B62D91">
        <w:rPr>
          <w:lang w:val="en-US"/>
        </w:rPr>
        <w:t>kualitas</w:t>
      </w:r>
      <w:proofErr w:type="spellEnd"/>
      <w:r w:rsidR="00B62D91" w:rsidRPr="00B62D91">
        <w:rPr>
          <w:lang w:val="en-US"/>
        </w:rPr>
        <w:t xml:space="preserve"> </w:t>
      </w:r>
      <w:proofErr w:type="spellStart"/>
      <w:r w:rsidR="00B62D91" w:rsidRPr="00B62D91">
        <w:rPr>
          <w:lang w:val="en-US"/>
        </w:rPr>
        <w:t>hidup</w:t>
      </w:r>
      <w:proofErr w:type="spellEnd"/>
      <w:r w:rsidR="00B62D91" w:rsidRPr="00B62D91">
        <w:rPr>
          <w:lang w:val="en-US"/>
        </w:rPr>
        <w:t xml:space="preserve"> </w:t>
      </w:r>
      <w:proofErr w:type="spellStart"/>
      <w:r w:rsidR="00B62D91" w:rsidRPr="00B62D91">
        <w:rPr>
          <w:lang w:val="en-US"/>
        </w:rPr>
        <w:t>antara</w:t>
      </w:r>
      <w:proofErr w:type="spellEnd"/>
      <w:r w:rsidR="00B62D91" w:rsidRPr="00B62D91">
        <w:rPr>
          <w:lang w:val="en-US"/>
        </w:rPr>
        <w:t xml:space="preserve"> lain </w:t>
      </w:r>
      <w:proofErr w:type="spellStart"/>
      <w:r w:rsidR="00B62D91" w:rsidRPr="00B62D91">
        <w:rPr>
          <w:lang w:val="en-US"/>
        </w:rPr>
        <w:t>keteraturan</w:t>
      </w:r>
      <w:proofErr w:type="spellEnd"/>
      <w:r w:rsidR="00B62D91" w:rsidRPr="00B62D91">
        <w:rPr>
          <w:lang w:val="en-US"/>
        </w:rPr>
        <w:t xml:space="preserve"> </w:t>
      </w:r>
      <w:proofErr w:type="spellStart"/>
      <w:r w:rsidR="00B62D91" w:rsidRPr="00B62D91">
        <w:rPr>
          <w:lang w:val="en-US"/>
        </w:rPr>
        <w:t>menjalani</w:t>
      </w:r>
      <w:proofErr w:type="spellEnd"/>
      <w:r w:rsidR="00B62D91" w:rsidRPr="00B62D91">
        <w:rPr>
          <w:lang w:val="en-US"/>
        </w:rPr>
        <w:t xml:space="preserve"> </w:t>
      </w:r>
      <w:proofErr w:type="spellStart"/>
      <w:r w:rsidR="00B62D91" w:rsidRPr="00B62D91">
        <w:rPr>
          <w:lang w:val="en-US"/>
        </w:rPr>
        <w:t>hemodialisis</w:t>
      </w:r>
      <w:proofErr w:type="spellEnd"/>
      <w:r w:rsidR="00B62D91" w:rsidRPr="00B62D91">
        <w:rPr>
          <w:lang w:val="en-US"/>
        </w:rPr>
        <w:t xml:space="preserve">, </w:t>
      </w:r>
      <w:proofErr w:type="spellStart"/>
      <w:r w:rsidR="00B62D91" w:rsidRPr="00B62D91">
        <w:rPr>
          <w:lang w:val="en-US"/>
        </w:rPr>
        <w:t>pengendalian</w:t>
      </w:r>
      <w:proofErr w:type="spellEnd"/>
      <w:r w:rsidR="00B62D91" w:rsidRPr="00B62D91">
        <w:rPr>
          <w:lang w:val="en-US"/>
        </w:rPr>
        <w:t xml:space="preserve"> diet, </w:t>
      </w:r>
      <w:proofErr w:type="spellStart"/>
      <w:r w:rsidR="00B62D91" w:rsidRPr="00B62D91">
        <w:rPr>
          <w:lang w:val="en-US"/>
        </w:rPr>
        <w:t>dukungan</w:t>
      </w:r>
      <w:proofErr w:type="spellEnd"/>
      <w:r w:rsidR="00B62D91" w:rsidRPr="00B62D91">
        <w:rPr>
          <w:lang w:val="en-US"/>
        </w:rPr>
        <w:t xml:space="preserve"> </w:t>
      </w:r>
      <w:proofErr w:type="spellStart"/>
      <w:r w:rsidR="00B62D91" w:rsidRPr="00B62D91">
        <w:rPr>
          <w:lang w:val="en-US"/>
        </w:rPr>
        <w:t>sosial</w:t>
      </w:r>
      <w:proofErr w:type="spellEnd"/>
      <w:r w:rsidR="00B62D91" w:rsidRPr="00B62D91">
        <w:rPr>
          <w:lang w:val="en-US"/>
        </w:rPr>
        <w:t xml:space="preserve">, </w:t>
      </w:r>
      <w:proofErr w:type="spellStart"/>
      <w:r w:rsidR="00B62D91" w:rsidRPr="00B62D91">
        <w:rPr>
          <w:lang w:val="en-US"/>
        </w:rPr>
        <w:t>serta</w:t>
      </w:r>
      <w:proofErr w:type="spellEnd"/>
      <w:r w:rsidR="00B62D91" w:rsidRPr="00B62D91">
        <w:rPr>
          <w:lang w:val="en-US"/>
        </w:rPr>
        <w:t xml:space="preserve"> </w:t>
      </w:r>
      <w:proofErr w:type="spellStart"/>
      <w:r w:rsidR="00B62D91" w:rsidRPr="00B62D91">
        <w:rPr>
          <w:lang w:val="en-US"/>
        </w:rPr>
        <w:t>kemampuan</w:t>
      </w:r>
      <w:proofErr w:type="spellEnd"/>
      <w:r w:rsidR="00B62D91" w:rsidRPr="00B62D91">
        <w:rPr>
          <w:lang w:val="en-US"/>
        </w:rPr>
        <w:t xml:space="preserve"> </w:t>
      </w:r>
      <w:proofErr w:type="spellStart"/>
      <w:r w:rsidR="00B62D91" w:rsidRPr="00B62D91">
        <w:rPr>
          <w:lang w:val="en-US"/>
        </w:rPr>
        <w:t>adaptasi</w:t>
      </w:r>
      <w:proofErr w:type="spellEnd"/>
      <w:r w:rsidR="00B62D91" w:rsidRPr="00B62D91">
        <w:rPr>
          <w:lang w:val="en-US"/>
        </w:rPr>
        <w:t xml:space="preserve"> </w:t>
      </w:r>
      <w:proofErr w:type="spellStart"/>
      <w:r w:rsidR="00B62D91" w:rsidRPr="00B62D91">
        <w:rPr>
          <w:lang w:val="en-US"/>
        </w:rPr>
        <w:t>psikologis</w:t>
      </w:r>
      <w:proofErr w:type="spellEnd"/>
      <w:r w:rsidR="00B62D91" w:rsidRPr="00B62D91">
        <w:rPr>
          <w:lang w:val="en-US"/>
        </w:rPr>
        <w:t xml:space="preserve"> </w:t>
      </w:r>
      <w:proofErr w:type="spellStart"/>
      <w:r w:rsidR="00B62D91" w:rsidRPr="00B62D91">
        <w:rPr>
          <w:lang w:val="en-US"/>
        </w:rPr>
        <w:t>terhadap</w:t>
      </w:r>
      <w:proofErr w:type="spellEnd"/>
      <w:r w:rsidR="00B62D91" w:rsidRPr="00B62D91">
        <w:rPr>
          <w:lang w:val="en-US"/>
        </w:rPr>
        <w:t xml:space="preserve"> </w:t>
      </w:r>
      <w:proofErr w:type="spellStart"/>
      <w:r w:rsidR="00B62D91" w:rsidRPr="00B62D91">
        <w:rPr>
          <w:lang w:val="en-US"/>
        </w:rPr>
        <w:t>penyakit</w:t>
      </w:r>
      <w:proofErr w:type="spellEnd"/>
    </w:p>
    <w:p w14:paraId="1C7A3F66" w14:textId="77777777" w:rsidR="00432072" w:rsidRDefault="00432072" w:rsidP="00325339">
      <w:pPr>
        <w:pStyle w:val="BodyText"/>
        <w:spacing w:line="360" w:lineRule="auto"/>
        <w:ind w:left="1530"/>
        <w:jc w:val="both"/>
        <w:rPr>
          <w:lang w:val="en-US"/>
        </w:rPr>
      </w:pPr>
    </w:p>
    <w:p w14:paraId="744D5B0D" w14:textId="76A469C2" w:rsidR="005A5886" w:rsidRDefault="005A5886" w:rsidP="00325339">
      <w:pPr>
        <w:pStyle w:val="BodyText"/>
        <w:spacing w:line="360" w:lineRule="auto"/>
        <w:ind w:left="1530"/>
        <w:jc w:val="both"/>
      </w:pPr>
      <w:r>
        <w:t>Analisa bivariat</w:t>
      </w:r>
    </w:p>
    <w:p w14:paraId="5C973FC3" w14:textId="376227B0" w:rsidR="005A5886" w:rsidRDefault="005A5886" w:rsidP="005A5886">
      <w:pPr>
        <w:pStyle w:val="BodyText"/>
        <w:numPr>
          <w:ilvl w:val="0"/>
          <w:numId w:val="5"/>
        </w:numPr>
        <w:spacing w:line="360" w:lineRule="auto"/>
        <w:jc w:val="both"/>
      </w:pPr>
      <w:r>
        <w:t>Hubungan antara kepatuhan menjalani terapi hemodialisa dan kualitas hidup pasien gagal ginjal kronik</w:t>
      </w:r>
    </w:p>
    <w:p w14:paraId="53F0382B" w14:textId="67BBC4DB" w:rsidR="005A5886" w:rsidRDefault="005A5886" w:rsidP="005A5886">
      <w:pPr>
        <w:pStyle w:val="BodyText"/>
        <w:spacing w:line="360" w:lineRule="auto"/>
        <w:ind w:left="1530"/>
        <w:jc w:val="center"/>
      </w:pPr>
      <w:r>
        <w:t>Distribusi frekuensi dan presentase berdasarkan kulitas hidup pasien gagal ginjal kronik</w:t>
      </w:r>
    </w:p>
    <w:tbl>
      <w:tblPr>
        <w:tblStyle w:val="TableGrid"/>
        <w:tblW w:w="6670" w:type="dxa"/>
        <w:tblInd w:w="1876" w:type="dxa"/>
        <w:tblBorders>
          <w:left w:val="none" w:sz="0" w:space="0" w:color="auto"/>
        </w:tblBorders>
        <w:tblLook w:val="04A0" w:firstRow="1" w:lastRow="0" w:firstColumn="1" w:lastColumn="0" w:noHBand="0" w:noVBand="1"/>
      </w:tblPr>
      <w:tblGrid>
        <w:gridCol w:w="486"/>
        <w:gridCol w:w="1334"/>
        <w:gridCol w:w="413"/>
        <w:gridCol w:w="730"/>
        <w:gridCol w:w="465"/>
        <w:gridCol w:w="730"/>
        <w:gridCol w:w="436"/>
        <w:gridCol w:w="730"/>
        <w:gridCol w:w="601"/>
        <w:gridCol w:w="745"/>
      </w:tblGrid>
      <w:tr w:rsidR="005A5886" w:rsidRPr="001D69F5" w14:paraId="2B76B29D" w14:textId="77777777" w:rsidTr="005A5886">
        <w:tc>
          <w:tcPr>
            <w:tcW w:w="486" w:type="dxa"/>
            <w:vMerge w:val="restart"/>
            <w:tcBorders>
              <w:right w:val="nil"/>
            </w:tcBorders>
          </w:tcPr>
          <w:p w14:paraId="0750DCB9" w14:textId="77777777" w:rsidR="005A5886" w:rsidRPr="001D69F5" w:rsidRDefault="005A5886" w:rsidP="000F3581">
            <w:pPr>
              <w:pStyle w:val="BodyText"/>
              <w:jc w:val="center"/>
              <w:rPr>
                <w:sz w:val="22"/>
                <w:szCs w:val="22"/>
              </w:rPr>
            </w:pPr>
            <w:r w:rsidRPr="001D69F5">
              <w:rPr>
                <w:sz w:val="22"/>
                <w:szCs w:val="22"/>
              </w:rPr>
              <w:t>No</w:t>
            </w:r>
          </w:p>
        </w:tc>
        <w:tc>
          <w:tcPr>
            <w:tcW w:w="1334" w:type="dxa"/>
            <w:vMerge w:val="restart"/>
            <w:tcBorders>
              <w:left w:val="nil"/>
              <w:right w:val="nil"/>
            </w:tcBorders>
          </w:tcPr>
          <w:p w14:paraId="44306BCA" w14:textId="77777777" w:rsidR="005A5886" w:rsidRPr="001D69F5" w:rsidRDefault="005A5886" w:rsidP="000F3581">
            <w:pPr>
              <w:pStyle w:val="BodyText"/>
              <w:jc w:val="center"/>
              <w:rPr>
                <w:sz w:val="22"/>
                <w:szCs w:val="22"/>
              </w:rPr>
            </w:pPr>
            <w:r w:rsidRPr="001D69F5">
              <w:rPr>
                <w:sz w:val="22"/>
                <w:szCs w:val="22"/>
              </w:rPr>
              <w:t>Kepatuhan Menjalani Terapi Hemodialisa</w:t>
            </w:r>
          </w:p>
        </w:tc>
        <w:tc>
          <w:tcPr>
            <w:tcW w:w="2338" w:type="dxa"/>
            <w:gridSpan w:val="4"/>
            <w:tcBorders>
              <w:left w:val="nil"/>
              <w:bottom w:val="single" w:sz="4" w:space="0" w:color="auto"/>
              <w:right w:val="nil"/>
            </w:tcBorders>
          </w:tcPr>
          <w:p w14:paraId="10A40245" w14:textId="77777777" w:rsidR="005A5886" w:rsidRPr="001D69F5" w:rsidRDefault="005A5886" w:rsidP="000F3581">
            <w:pPr>
              <w:pStyle w:val="BodyText"/>
              <w:jc w:val="center"/>
              <w:rPr>
                <w:sz w:val="22"/>
                <w:szCs w:val="22"/>
              </w:rPr>
            </w:pPr>
            <w:r w:rsidRPr="001D69F5">
              <w:rPr>
                <w:sz w:val="22"/>
                <w:szCs w:val="22"/>
              </w:rPr>
              <w:t>Kualitas Hidup Pasien Gagal Ginjal Kronik</w:t>
            </w:r>
          </w:p>
        </w:tc>
        <w:tc>
          <w:tcPr>
            <w:tcW w:w="436" w:type="dxa"/>
            <w:vMerge w:val="restart"/>
            <w:tcBorders>
              <w:left w:val="nil"/>
              <w:right w:val="nil"/>
            </w:tcBorders>
          </w:tcPr>
          <w:p w14:paraId="7EF7DB64" w14:textId="77777777" w:rsidR="005A5886" w:rsidRPr="001D69F5" w:rsidRDefault="005A5886" w:rsidP="000F3581">
            <w:pPr>
              <w:pStyle w:val="BodyText"/>
              <w:jc w:val="center"/>
              <w:rPr>
                <w:sz w:val="22"/>
                <w:szCs w:val="22"/>
              </w:rPr>
            </w:pPr>
            <w:r w:rsidRPr="001D69F5">
              <w:rPr>
                <w:sz w:val="22"/>
                <w:szCs w:val="22"/>
              </w:rPr>
              <w:t>F</w:t>
            </w:r>
          </w:p>
        </w:tc>
        <w:tc>
          <w:tcPr>
            <w:tcW w:w="730" w:type="dxa"/>
            <w:vMerge w:val="restart"/>
            <w:tcBorders>
              <w:left w:val="nil"/>
              <w:right w:val="nil"/>
            </w:tcBorders>
          </w:tcPr>
          <w:p w14:paraId="05A892BA" w14:textId="77777777" w:rsidR="005A5886" w:rsidRPr="001D69F5" w:rsidRDefault="005A5886" w:rsidP="000F3581">
            <w:pPr>
              <w:pStyle w:val="BodyText"/>
              <w:jc w:val="center"/>
              <w:rPr>
                <w:sz w:val="22"/>
                <w:szCs w:val="22"/>
              </w:rPr>
            </w:pPr>
            <w:r w:rsidRPr="001D69F5">
              <w:rPr>
                <w:sz w:val="22"/>
                <w:szCs w:val="22"/>
              </w:rPr>
              <w:t>%</w:t>
            </w:r>
          </w:p>
        </w:tc>
        <w:tc>
          <w:tcPr>
            <w:tcW w:w="601" w:type="dxa"/>
            <w:vMerge w:val="restart"/>
            <w:tcBorders>
              <w:left w:val="nil"/>
              <w:right w:val="nil"/>
            </w:tcBorders>
          </w:tcPr>
          <w:p w14:paraId="2F11A5BD" w14:textId="77777777" w:rsidR="005A5886" w:rsidRPr="001D69F5" w:rsidRDefault="005A5886" w:rsidP="000F3581">
            <w:pPr>
              <w:pStyle w:val="BodyText"/>
              <w:jc w:val="center"/>
              <w:rPr>
                <w:sz w:val="22"/>
                <w:szCs w:val="22"/>
              </w:rPr>
            </w:pPr>
            <w:r w:rsidRPr="001D69F5">
              <w:rPr>
                <w:sz w:val="22"/>
                <w:szCs w:val="22"/>
              </w:rPr>
              <w:t xml:space="preserve">A </w:t>
            </w:r>
          </w:p>
        </w:tc>
        <w:tc>
          <w:tcPr>
            <w:tcW w:w="745" w:type="dxa"/>
            <w:vMerge w:val="restart"/>
            <w:tcBorders>
              <w:left w:val="nil"/>
              <w:right w:val="nil"/>
            </w:tcBorders>
          </w:tcPr>
          <w:p w14:paraId="53101807" w14:textId="77777777" w:rsidR="005A5886" w:rsidRPr="001D69F5" w:rsidRDefault="005A5886" w:rsidP="000F3581">
            <w:pPr>
              <w:pStyle w:val="BodyText"/>
              <w:jc w:val="center"/>
              <w:rPr>
                <w:sz w:val="22"/>
                <w:szCs w:val="22"/>
              </w:rPr>
            </w:pPr>
            <w:r w:rsidRPr="001D69F5">
              <w:rPr>
                <w:sz w:val="22"/>
                <w:szCs w:val="22"/>
              </w:rPr>
              <w:t>P Value</w:t>
            </w:r>
          </w:p>
        </w:tc>
      </w:tr>
      <w:tr w:rsidR="005A5886" w:rsidRPr="001D69F5" w14:paraId="4742CE39" w14:textId="77777777" w:rsidTr="005A5886">
        <w:tc>
          <w:tcPr>
            <w:tcW w:w="486" w:type="dxa"/>
            <w:vMerge/>
            <w:tcBorders>
              <w:right w:val="nil"/>
            </w:tcBorders>
          </w:tcPr>
          <w:p w14:paraId="03AF045C" w14:textId="77777777" w:rsidR="005A5886" w:rsidRPr="001D69F5" w:rsidRDefault="005A5886" w:rsidP="000F3581">
            <w:pPr>
              <w:pStyle w:val="BodyText"/>
              <w:jc w:val="center"/>
              <w:rPr>
                <w:sz w:val="22"/>
                <w:szCs w:val="22"/>
              </w:rPr>
            </w:pPr>
          </w:p>
        </w:tc>
        <w:tc>
          <w:tcPr>
            <w:tcW w:w="1334" w:type="dxa"/>
            <w:vMerge/>
            <w:tcBorders>
              <w:left w:val="nil"/>
              <w:right w:val="nil"/>
            </w:tcBorders>
          </w:tcPr>
          <w:p w14:paraId="6C46F04C" w14:textId="77777777" w:rsidR="005A5886" w:rsidRPr="001D69F5" w:rsidRDefault="005A5886" w:rsidP="000F3581">
            <w:pPr>
              <w:pStyle w:val="BodyText"/>
              <w:jc w:val="center"/>
              <w:rPr>
                <w:sz w:val="22"/>
                <w:szCs w:val="22"/>
              </w:rPr>
            </w:pPr>
          </w:p>
        </w:tc>
        <w:tc>
          <w:tcPr>
            <w:tcW w:w="1143" w:type="dxa"/>
            <w:gridSpan w:val="2"/>
            <w:tcBorders>
              <w:left w:val="nil"/>
              <w:right w:val="nil"/>
            </w:tcBorders>
          </w:tcPr>
          <w:p w14:paraId="787D7A42" w14:textId="77777777" w:rsidR="005A5886" w:rsidRPr="001D69F5" w:rsidRDefault="005A5886" w:rsidP="000F3581">
            <w:pPr>
              <w:pStyle w:val="BodyText"/>
              <w:rPr>
                <w:sz w:val="22"/>
                <w:szCs w:val="22"/>
              </w:rPr>
            </w:pPr>
            <w:r w:rsidRPr="001D69F5">
              <w:rPr>
                <w:sz w:val="22"/>
                <w:szCs w:val="22"/>
              </w:rPr>
              <w:t>Sedang</w:t>
            </w:r>
          </w:p>
        </w:tc>
        <w:tc>
          <w:tcPr>
            <w:tcW w:w="1195" w:type="dxa"/>
            <w:gridSpan w:val="2"/>
            <w:tcBorders>
              <w:left w:val="nil"/>
              <w:right w:val="nil"/>
            </w:tcBorders>
          </w:tcPr>
          <w:p w14:paraId="00C8307D" w14:textId="77777777" w:rsidR="005A5886" w:rsidRPr="001D69F5" w:rsidRDefault="005A5886" w:rsidP="000F3581">
            <w:pPr>
              <w:pStyle w:val="BodyText"/>
              <w:jc w:val="center"/>
              <w:rPr>
                <w:sz w:val="22"/>
                <w:szCs w:val="22"/>
              </w:rPr>
            </w:pPr>
            <w:r w:rsidRPr="001D69F5">
              <w:rPr>
                <w:sz w:val="22"/>
                <w:szCs w:val="22"/>
              </w:rPr>
              <w:t>Baik</w:t>
            </w:r>
          </w:p>
        </w:tc>
        <w:tc>
          <w:tcPr>
            <w:tcW w:w="436" w:type="dxa"/>
            <w:vMerge/>
            <w:tcBorders>
              <w:left w:val="nil"/>
              <w:right w:val="nil"/>
            </w:tcBorders>
          </w:tcPr>
          <w:p w14:paraId="1AF8DE4A" w14:textId="77777777" w:rsidR="005A5886" w:rsidRPr="001D69F5" w:rsidRDefault="005A5886" w:rsidP="000F3581">
            <w:pPr>
              <w:pStyle w:val="BodyText"/>
              <w:jc w:val="center"/>
              <w:rPr>
                <w:sz w:val="22"/>
                <w:szCs w:val="22"/>
              </w:rPr>
            </w:pPr>
          </w:p>
        </w:tc>
        <w:tc>
          <w:tcPr>
            <w:tcW w:w="730" w:type="dxa"/>
            <w:vMerge/>
            <w:tcBorders>
              <w:left w:val="nil"/>
              <w:right w:val="nil"/>
            </w:tcBorders>
          </w:tcPr>
          <w:p w14:paraId="58747D2C" w14:textId="77777777" w:rsidR="005A5886" w:rsidRPr="001D69F5" w:rsidRDefault="005A5886" w:rsidP="000F3581">
            <w:pPr>
              <w:pStyle w:val="BodyText"/>
              <w:jc w:val="center"/>
              <w:rPr>
                <w:sz w:val="22"/>
                <w:szCs w:val="22"/>
              </w:rPr>
            </w:pPr>
          </w:p>
        </w:tc>
        <w:tc>
          <w:tcPr>
            <w:tcW w:w="601" w:type="dxa"/>
            <w:vMerge/>
            <w:tcBorders>
              <w:left w:val="nil"/>
              <w:right w:val="nil"/>
            </w:tcBorders>
          </w:tcPr>
          <w:p w14:paraId="07F2E07C" w14:textId="77777777" w:rsidR="005A5886" w:rsidRPr="001D69F5" w:rsidRDefault="005A5886" w:rsidP="000F3581">
            <w:pPr>
              <w:pStyle w:val="BodyText"/>
              <w:jc w:val="center"/>
              <w:rPr>
                <w:sz w:val="22"/>
                <w:szCs w:val="22"/>
              </w:rPr>
            </w:pPr>
          </w:p>
        </w:tc>
        <w:tc>
          <w:tcPr>
            <w:tcW w:w="745" w:type="dxa"/>
            <w:vMerge/>
            <w:tcBorders>
              <w:left w:val="nil"/>
              <w:right w:val="nil"/>
            </w:tcBorders>
          </w:tcPr>
          <w:p w14:paraId="0B9AA89A" w14:textId="77777777" w:rsidR="005A5886" w:rsidRPr="001D69F5" w:rsidRDefault="005A5886" w:rsidP="000F3581">
            <w:pPr>
              <w:pStyle w:val="BodyText"/>
              <w:jc w:val="center"/>
              <w:rPr>
                <w:sz w:val="22"/>
                <w:szCs w:val="22"/>
              </w:rPr>
            </w:pPr>
          </w:p>
        </w:tc>
      </w:tr>
      <w:tr w:rsidR="005A5886" w:rsidRPr="001D69F5" w14:paraId="07CFFCF6" w14:textId="77777777" w:rsidTr="005A5886">
        <w:tc>
          <w:tcPr>
            <w:tcW w:w="486" w:type="dxa"/>
            <w:vMerge/>
            <w:tcBorders>
              <w:right w:val="nil"/>
            </w:tcBorders>
          </w:tcPr>
          <w:p w14:paraId="68EE35F9" w14:textId="77777777" w:rsidR="005A5886" w:rsidRPr="001D69F5" w:rsidRDefault="005A5886" w:rsidP="000F3581">
            <w:pPr>
              <w:pStyle w:val="BodyText"/>
              <w:jc w:val="center"/>
              <w:rPr>
                <w:sz w:val="22"/>
                <w:szCs w:val="22"/>
              </w:rPr>
            </w:pPr>
          </w:p>
        </w:tc>
        <w:tc>
          <w:tcPr>
            <w:tcW w:w="1334" w:type="dxa"/>
            <w:vMerge/>
            <w:tcBorders>
              <w:left w:val="nil"/>
              <w:right w:val="nil"/>
            </w:tcBorders>
          </w:tcPr>
          <w:p w14:paraId="1599866C" w14:textId="77777777" w:rsidR="005A5886" w:rsidRPr="001D69F5" w:rsidRDefault="005A5886" w:rsidP="000F3581">
            <w:pPr>
              <w:pStyle w:val="BodyText"/>
              <w:jc w:val="center"/>
              <w:rPr>
                <w:sz w:val="22"/>
                <w:szCs w:val="22"/>
              </w:rPr>
            </w:pPr>
          </w:p>
        </w:tc>
        <w:tc>
          <w:tcPr>
            <w:tcW w:w="413" w:type="dxa"/>
            <w:tcBorders>
              <w:left w:val="nil"/>
              <w:right w:val="nil"/>
            </w:tcBorders>
          </w:tcPr>
          <w:p w14:paraId="3DC6A577" w14:textId="77777777" w:rsidR="005A5886" w:rsidRPr="001D69F5" w:rsidRDefault="005A5886" w:rsidP="000F3581">
            <w:pPr>
              <w:pStyle w:val="BodyText"/>
              <w:jc w:val="center"/>
              <w:rPr>
                <w:sz w:val="22"/>
                <w:szCs w:val="22"/>
              </w:rPr>
            </w:pPr>
            <w:r w:rsidRPr="001D69F5">
              <w:rPr>
                <w:sz w:val="22"/>
                <w:szCs w:val="22"/>
              </w:rPr>
              <w:t>N</w:t>
            </w:r>
          </w:p>
        </w:tc>
        <w:tc>
          <w:tcPr>
            <w:tcW w:w="730" w:type="dxa"/>
            <w:tcBorders>
              <w:left w:val="nil"/>
              <w:right w:val="nil"/>
            </w:tcBorders>
          </w:tcPr>
          <w:p w14:paraId="08C6A3F8" w14:textId="77777777" w:rsidR="005A5886" w:rsidRPr="001D69F5" w:rsidRDefault="005A5886" w:rsidP="000F3581">
            <w:pPr>
              <w:pStyle w:val="BodyText"/>
              <w:jc w:val="center"/>
              <w:rPr>
                <w:sz w:val="22"/>
                <w:szCs w:val="22"/>
              </w:rPr>
            </w:pPr>
            <w:r w:rsidRPr="001D69F5">
              <w:rPr>
                <w:sz w:val="22"/>
                <w:szCs w:val="22"/>
              </w:rPr>
              <w:t>%</w:t>
            </w:r>
          </w:p>
        </w:tc>
        <w:tc>
          <w:tcPr>
            <w:tcW w:w="465" w:type="dxa"/>
            <w:tcBorders>
              <w:left w:val="nil"/>
              <w:right w:val="nil"/>
            </w:tcBorders>
          </w:tcPr>
          <w:p w14:paraId="478D1D7C" w14:textId="77777777" w:rsidR="005A5886" w:rsidRPr="001D69F5" w:rsidRDefault="005A5886" w:rsidP="000F3581">
            <w:pPr>
              <w:pStyle w:val="BodyText"/>
              <w:jc w:val="center"/>
              <w:rPr>
                <w:sz w:val="22"/>
                <w:szCs w:val="22"/>
              </w:rPr>
            </w:pPr>
            <w:r w:rsidRPr="001D69F5">
              <w:rPr>
                <w:sz w:val="22"/>
                <w:szCs w:val="22"/>
              </w:rPr>
              <w:t>N</w:t>
            </w:r>
          </w:p>
        </w:tc>
        <w:tc>
          <w:tcPr>
            <w:tcW w:w="730" w:type="dxa"/>
            <w:tcBorders>
              <w:left w:val="nil"/>
              <w:right w:val="nil"/>
            </w:tcBorders>
          </w:tcPr>
          <w:p w14:paraId="0BB10753" w14:textId="77777777" w:rsidR="005A5886" w:rsidRPr="001D69F5" w:rsidRDefault="005A5886" w:rsidP="000F3581">
            <w:pPr>
              <w:pStyle w:val="BodyText"/>
              <w:jc w:val="center"/>
              <w:rPr>
                <w:sz w:val="22"/>
                <w:szCs w:val="22"/>
              </w:rPr>
            </w:pPr>
            <w:r w:rsidRPr="001D69F5">
              <w:rPr>
                <w:sz w:val="22"/>
                <w:szCs w:val="22"/>
              </w:rPr>
              <w:t>%</w:t>
            </w:r>
          </w:p>
        </w:tc>
        <w:tc>
          <w:tcPr>
            <w:tcW w:w="436" w:type="dxa"/>
            <w:vMerge/>
            <w:tcBorders>
              <w:left w:val="nil"/>
              <w:right w:val="nil"/>
            </w:tcBorders>
          </w:tcPr>
          <w:p w14:paraId="2172B67F" w14:textId="77777777" w:rsidR="005A5886" w:rsidRPr="001D69F5" w:rsidRDefault="005A5886" w:rsidP="000F3581">
            <w:pPr>
              <w:pStyle w:val="BodyText"/>
              <w:jc w:val="center"/>
              <w:rPr>
                <w:sz w:val="22"/>
                <w:szCs w:val="22"/>
              </w:rPr>
            </w:pPr>
          </w:p>
        </w:tc>
        <w:tc>
          <w:tcPr>
            <w:tcW w:w="730" w:type="dxa"/>
            <w:vMerge/>
            <w:tcBorders>
              <w:left w:val="nil"/>
              <w:right w:val="nil"/>
            </w:tcBorders>
          </w:tcPr>
          <w:p w14:paraId="48CFFA95" w14:textId="77777777" w:rsidR="005A5886" w:rsidRPr="001D69F5" w:rsidRDefault="005A5886" w:rsidP="000F3581">
            <w:pPr>
              <w:pStyle w:val="BodyText"/>
              <w:jc w:val="center"/>
              <w:rPr>
                <w:sz w:val="22"/>
                <w:szCs w:val="22"/>
              </w:rPr>
            </w:pPr>
          </w:p>
        </w:tc>
        <w:tc>
          <w:tcPr>
            <w:tcW w:w="601" w:type="dxa"/>
            <w:vMerge/>
            <w:tcBorders>
              <w:left w:val="nil"/>
              <w:right w:val="nil"/>
            </w:tcBorders>
          </w:tcPr>
          <w:p w14:paraId="6DCCF4CD" w14:textId="77777777" w:rsidR="005A5886" w:rsidRPr="001D69F5" w:rsidRDefault="005A5886" w:rsidP="000F3581">
            <w:pPr>
              <w:pStyle w:val="BodyText"/>
              <w:jc w:val="center"/>
              <w:rPr>
                <w:sz w:val="22"/>
                <w:szCs w:val="22"/>
              </w:rPr>
            </w:pPr>
          </w:p>
        </w:tc>
        <w:tc>
          <w:tcPr>
            <w:tcW w:w="745" w:type="dxa"/>
            <w:vMerge/>
            <w:tcBorders>
              <w:left w:val="nil"/>
              <w:right w:val="nil"/>
            </w:tcBorders>
          </w:tcPr>
          <w:p w14:paraId="6AD85208" w14:textId="77777777" w:rsidR="005A5886" w:rsidRPr="001D69F5" w:rsidRDefault="005A5886" w:rsidP="000F3581">
            <w:pPr>
              <w:pStyle w:val="BodyText"/>
              <w:jc w:val="center"/>
              <w:rPr>
                <w:sz w:val="22"/>
                <w:szCs w:val="22"/>
              </w:rPr>
            </w:pPr>
          </w:p>
        </w:tc>
      </w:tr>
      <w:tr w:rsidR="005A5886" w:rsidRPr="001D69F5" w14:paraId="72790D0B" w14:textId="77777777" w:rsidTr="005A5886">
        <w:tc>
          <w:tcPr>
            <w:tcW w:w="486" w:type="dxa"/>
            <w:tcBorders>
              <w:bottom w:val="nil"/>
              <w:right w:val="nil"/>
            </w:tcBorders>
          </w:tcPr>
          <w:p w14:paraId="51282D2D" w14:textId="77777777" w:rsidR="005A5886" w:rsidRPr="001D69F5" w:rsidRDefault="005A5886" w:rsidP="000F3581">
            <w:pPr>
              <w:pStyle w:val="BodyText"/>
              <w:jc w:val="center"/>
              <w:rPr>
                <w:sz w:val="22"/>
                <w:szCs w:val="22"/>
              </w:rPr>
            </w:pPr>
            <w:r w:rsidRPr="001D69F5">
              <w:rPr>
                <w:sz w:val="22"/>
                <w:szCs w:val="22"/>
              </w:rPr>
              <w:t>1.</w:t>
            </w:r>
          </w:p>
        </w:tc>
        <w:tc>
          <w:tcPr>
            <w:tcW w:w="1334" w:type="dxa"/>
            <w:tcBorders>
              <w:left w:val="nil"/>
              <w:bottom w:val="nil"/>
              <w:right w:val="nil"/>
            </w:tcBorders>
          </w:tcPr>
          <w:p w14:paraId="0D59FFF3" w14:textId="77777777" w:rsidR="005A5886" w:rsidRPr="001D69F5" w:rsidRDefault="005A5886" w:rsidP="000F3581">
            <w:pPr>
              <w:pStyle w:val="BodyText"/>
              <w:jc w:val="center"/>
              <w:rPr>
                <w:sz w:val="22"/>
                <w:szCs w:val="22"/>
              </w:rPr>
            </w:pPr>
            <w:r w:rsidRPr="001D69F5">
              <w:rPr>
                <w:sz w:val="22"/>
                <w:szCs w:val="22"/>
              </w:rPr>
              <w:t>Patuh</w:t>
            </w:r>
          </w:p>
        </w:tc>
        <w:tc>
          <w:tcPr>
            <w:tcW w:w="413" w:type="dxa"/>
            <w:tcBorders>
              <w:left w:val="nil"/>
              <w:bottom w:val="nil"/>
              <w:right w:val="nil"/>
            </w:tcBorders>
          </w:tcPr>
          <w:p w14:paraId="50BCD6A2" w14:textId="77777777" w:rsidR="005A5886" w:rsidRPr="001D69F5" w:rsidRDefault="005A5886" w:rsidP="000F3581">
            <w:pPr>
              <w:pStyle w:val="BodyText"/>
              <w:jc w:val="center"/>
              <w:rPr>
                <w:sz w:val="22"/>
                <w:szCs w:val="22"/>
              </w:rPr>
            </w:pPr>
            <w:r w:rsidRPr="001D69F5">
              <w:rPr>
                <w:sz w:val="22"/>
                <w:szCs w:val="22"/>
              </w:rPr>
              <w:t>0</w:t>
            </w:r>
          </w:p>
        </w:tc>
        <w:tc>
          <w:tcPr>
            <w:tcW w:w="730" w:type="dxa"/>
            <w:tcBorders>
              <w:left w:val="nil"/>
              <w:bottom w:val="nil"/>
              <w:right w:val="nil"/>
            </w:tcBorders>
          </w:tcPr>
          <w:p w14:paraId="7782D805" w14:textId="77777777" w:rsidR="005A5886" w:rsidRPr="001D69F5" w:rsidRDefault="005A5886" w:rsidP="000F3581">
            <w:pPr>
              <w:pStyle w:val="BodyText"/>
              <w:jc w:val="center"/>
              <w:rPr>
                <w:sz w:val="22"/>
                <w:szCs w:val="22"/>
              </w:rPr>
            </w:pPr>
            <w:r w:rsidRPr="001D69F5">
              <w:rPr>
                <w:sz w:val="22"/>
                <w:szCs w:val="22"/>
              </w:rPr>
              <w:t>0%</w:t>
            </w:r>
          </w:p>
        </w:tc>
        <w:tc>
          <w:tcPr>
            <w:tcW w:w="465" w:type="dxa"/>
            <w:tcBorders>
              <w:left w:val="nil"/>
              <w:bottom w:val="nil"/>
              <w:right w:val="nil"/>
            </w:tcBorders>
          </w:tcPr>
          <w:p w14:paraId="71A6297B" w14:textId="77777777" w:rsidR="005A5886" w:rsidRPr="001D69F5" w:rsidRDefault="005A5886" w:rsidP="000F3581">
            <w:pPr>
              <w:pStyle w:val="BodyText"/>
              <w:jc w:val="center"/>
              <w:rPr>
                <w:sz w:val="22"/>
                <w:szCs w:val="22"/>
              </w:rPr>
            </w:pPr>
            <w:r w:rsidRPr="001D69F5">
              <w:rPr>
                <w:sz w:val="22"/>
                <w:szCs w:val="22"/>
              </w:rPr>
              <w:t>44</w:t>
            </w:r>
          </w:p>
        </w:tc>
        <w:tc>
          <w:tcPr>
            <w:tcW w:w="730" w:type="dxa"/>
            <w:tcBorders>
              <w:left w:val="nil"/>
              <w:bottom w:val="nil"/>
              <w:right w:val="nil"/>
            </w:tcBorders>
          </w:tcPr>
          <w:p w14:paraId="0E9242A8" w14:textId="77777777" w:rsidR="005A5886" w:rsidRPr="001D69F5" w:rsidRDefault="005A5886" w:rsidP="000F3581">
            <w:pPr>
              <w:pStyle w:val="BodyText"/>
              <w:jc w:val="center"/>
              <w:rPr>
                <w:sz w:val="22"/>
                <w:szCs w:val="22"/>
              </w:rPr>
            </w:pPr>
            <w:r w:rsidRPr="001D69F5">
              <w:rPr>
                <w:sz w:val="22"/>
                <w:szCs w:val="22"/>
              </w:rPr>
              <w:t>100%</w:t>
            </w:r>
          </w:p>
        </w:tc>
        <w:tc>
          <w:tcPr>
            <w:tcW w:w="436" w:type="dxa"/>
            <w:tcBorders>
              <w:left w:val="nil"/>
              <w:bottom w:val="nil"/>
              <w:right w:val="nil"/>
            </w:tcBorders>
          </w:tcPr>
          <w:p w14:paraId="1C13DAF6" w14:textId="77777777" w:rsidR="005A5886" w:rsidRPr="001D69F5" w:rsidRDefault="005A5886" w:rsidP="000F3581">
            <w:pPr>
              <w:pStyle w:val="BodyText"/>
              <w:jc w:val="center"/>
              <w:rPr>
                <w:sz w:val="22"/>
                <w:szCs w:val="22"/>
              </w:rPr>
            </w:pPr>
            <w:r w:rsidRPr="001D69F5">
              <w:rPr>
                <w:sz w:val="22"/>
                <w:szCs w:val="22"/>
              </w:rPr>
              <w:t>44</w:t>
            </w:r>
          </w:p>
        </w:tc>
        <w:tc>
          <w:tcPr>
            <w:tcW w:w="730" w:type="dxa"/>
            <w:tcBorders>
              <w:left w:val="nil"/>
              <w:bottom w:val="nil"/>
              <w:right w:val="nil"/>
            </w:tcBorders>
          </w:tcPr>
          <w:p w14:paraId="40C3BE1F" w14:textId="77777777" w:rsidR="005A5886" w:rsidRPr="001D69F5" w:rsidRDefault="005A5886" w:rsidP="000F3581">
            <w:pPr>
              <w:pStyle w:val="BodyText"/>
              <w:jc w:val="center"/>
              <w:rPr>
                <w:sz w:val="22"/>
                <w:szCs w:val="22"/>
              </w:rPr>
            </w:pPr>
            <w:r w:rsidRPr="001D69F5">
              <w:rPr>
                <w:sz w:val="22"/>
                <w:szCs w:val="22"/>
              </w:rPr>
              <w:t>100%</w:t>
            </w:r>
          </w:p>
        </w:tc>
        <w:tc>
          <w:tcPr>
            <w:tcW w:w="601" w:type="dxa"/>
            <w:tcBorders>
              <w:left w:val="nil"/>
              <w:bottom w:val="nil"/>
              <w:right w:val="nil"/>
            </w:tcBorders>
          </w:tcPr>
          <w:p w14:paraId="3061924A" w14:textId="77777777" w:rsidR="005A5886" w:rsidRPr="001D69F5" w:rsidRDefault="005A5886" w:rsidP="000F3581">
            <w:pPr>
              <w:pStyle w:val="BodyText"/>
              <w:jc w:val="center"/>
              <w:rPr>
                <w:sz w:val="22"/>
                <w:szCs w:val="22"/>
              </w:rPr>
            </w:pPr>
            <w:r w:rsidRPr="001D69F5">
              <w:rPr>
                <w:sz w:val="22"/>
                <w:szCs w:val="22"/>
              </w:rPr>
              <w:t>0,05</w:t>
            </w:r>
          </w:p>
        </w:tc>
        <w:tc>
          <w:tcPr>
            <w:tcW w:w="745" w:type="dxa"/>
            <w:tcBorders>
              <w:left w:val="nil"/>
              <w:bottom w:val="nil"/>
              <w:right w:val="nil"/>
            </w:tcBorders>
          </w:tcPr>
          <w:p w14:paraId="2A35F15C" w14:textId="77777777" w:rsidR="005A5886" w:rsidRPr="001D69F5" w:rsidRDefault="005A5886" w:rsidP="000F3581">
            <w:pPr>
              <w:pStyle w:val="BodyText"/>
              <w:jc w:val="center"/>
              <w:rPr>
                <w:sz w:val="22"/>
                <w:szCs w:val="22"/>
              </w:rPr>
            </w:pPr>
            <w:r w:rsidRPr="001D69F5">
              <w:rPr>
                <w:sz w:val="22"/>
                <w:szCs w:val="22"/>
              </w:rPr>
              <w:t>&lt;001</w:t>
            </w:r>
          </w:p>
        </w:tc>
      </w:tr>
      <w:tr w:rsidR="005A5886" w:rsidRPr="001D69F5" w14:paraId="385CCAEB" w14:textId="77777777" w:rsidTr="005A5886">
        <w:tc>
          <w:tcPr>
            <w:tcW w:w="486" w:type="dxa"/>
            <w:tcBorders>
              <w:top w:val="nil"/>
              <w:right w:val="nil"/>
            </w:tcBorders>
          </w:tcPr>
          <w:p w14:paraId="28F648CC" w14:textId="77777777" w:rsidR="005A5886" w:rsidRPr="001D69F5" w:rsidRDefault="005A5886" w:rsidP="000F3581">
            <w:pPr>
              <w:pStyle w:val="BodyText"/>
              <w:jc w:val="center"/>
              <w:rPr>
                <w:sz w:val="22"/>
                <w:szCs w:val="22"/>
              </w:rPr>
            </w:pPr>
            <w:r w:rsidRPr="001D69F5">
              <w:rPr>
                <w:sz w:val="22"/>
                <w:szCs w:val="22"/>
              </w:rPr>
              <w:t>2.</w:t>
            </w:r>
          </w:p>
        </w:tc>
        <w:tc>
          <w:tcPr>
            <w:tcW w:w="1334" w:type="dxa"/>
            <w:tcBorders>
              <w:top w:val="nil"/>
              <w:left w:val="nil"/>
              <w:right w:val="nil"/>
            </w:tcBorders>
          </w:tcPr>
          <w:p w14:paraId="0B537FDF" w14:textId="77777777" w:rsidR="005A5886" w:rsidRPr="001D69F5" w:rsidRDefault="005A5886" w:rsidP="000F3581">
            <w:pPr>
              <w:pStyle w:val="BodyText"/>
              <w:jc w:val="center"/>
              <w:rPr>
                <w:sz w:val="22"/>
                <w:szCs w:val="22"/>
              </w:rPr>
            </w:pPr>
            <w:r w:rsidRPr="001D69F5">
              <w:rPr>
                <w:sz w:val="22"/>
                <w:szCs w:val="22"/>
              </w:rPr>
              <w:t>Tidak patuh</w:t>
            </w:r>
          </w:p>
        </w:tc>
        <w:tc>
          <w:tcPr>
            <w:tcW w:w="413" w:type="dxa"/>
            <w:tcBorders>
              <w:top w:val="nil"/>
              <w:left w:val="nil"/>
              <w:right w:val="nil"/>
            </w:tcBorders>
          </w:tcPr>
          <w:p w14:paraId="1D5D459C" w14:textId="77777777" w:rsidR="005A5886" w:rsidRPr="001D69F5" w:rsidRDefault="005A5886" w:rsidP="000F3581">
            <w:pPr>
              <w:pStyle w:val="BodyText"/>
              <w:jc w:val="center"/>
              <w:rPr>
                <w:sz w:val="22"/>
                <w:szCs w:val="22"/>
              </w:rPr>
            </w:pPr>
            <w:r w:rsidRPr="001D69F5">
              <w:rPr>
                <w:sz w:val="22"/>
                <w:szCs w:val="22"/>
              </w:rPr>
              <w:t>4</w:t>
            </w:r>
          </w:p>
        </w:tc>
        <w:tc>
          <w:tcPr>
            <w:tcW w:w="730" w:type="dxa"/>
            <w:tcBorders>
              <w:top w:val="nil"/>
              <w:left w:val="nil"/>
              <w:right w:val="nil"/>
            </w:tcBorders>
          </w:tcPr>
          <w:p w14:paraId="1E4442F9" w14:textId="77777777" w:rsidR="005A5886" w:rsidRPr="001D69F5" w:rsidRDefault="005A5886" w:rsidP="000F3581">
            <w:pPr>
              <w:pStyle w:val="BodyText"/>
              <w:jc w:val="center"/>
              <w:rPr>
                <w:sz w:val="22"/>
                <w:szCs w:val="22"/>
              </w:rPr>
            </w:pPr>
            <w:r w:rsidRPr="001D69F5">
              <w:rPr>
                <w:sz w:val="22"/>
                <w:szCs w:val="22"/>
              </w:rPr>
              <w:t>100%</w:t>
            </w:r>
          </w:p>
        </w:tc>
        <w:tc>
          <w:tcPr>
            <w:tcW w:w="465" w:type="dxa"/>
            <w:tcBorders>
              <w:top w:val="nil"/>
              <w:left w:val="nil"/>
              <w:right w:val="nil"/>
            </w:tcBorders>
          </w:tcPr>
          <w:p w14:paraId="3BCA0101" w14:textId="77777777" w:rsidR="005A5886" w:rsidRPr="001D69F5" w:rsidRDefault="005A5886" w:rsidP="000F3581">
            <w:pPr>
              <w:pStyle w:val="BodyText"/>
              <w:jc w:val="center"/>
              <w:rPr>
                <w:sz w:val="22"/>
                <w:szCs w:val="22"/>
              </w:rPr>
            </w:pPr>
            <w:r w:rsidRPr="001D69F5">
              <w:rPr>
                <w:sz w:val="22"/>
                <w:szCs w:val="22"/>
              </w:rPr>
              <w:t>0</w:t>
            </w:r>
          </w:p>
        </w:tc>
        <w:tc>
          <w:tcPr>
            <w:tcW w:w="730" w:type="dxa"/>
            <w:tcBorders>
              <w:top w:val="nil"/>
              <w:left w:val="nil"/>
              <w:right w:val="nil"/>
            </w:tcBorders>
          </w:tcPr>
          <w:p w14:paraId="4F956631" w14:textId="77777777" w:rsidR="005A5886" w:rsidRPr="001D69F5" w:rsidRDefault="005A5886" w:rsidP="000F3581">
            <w:pPr>
              <w:pStyle w:val="BodyText"/>
              <w:jc w:val="center"/>
              <w:rPr>
                <w:sz w:val="22"/>
                <w:szCs w:val="22"/>
              </w:rPr>
            </w:pPr>
            <w:r w:rsidRPr="001D69F5">
              <w:rPr>
                <w:sz w:val="22"/>
                <w:szCs w:val="22"/>
              </w:rPr>
              <w:t>0%</w:t>
            </w:r>
          </w:p>
        </w:tc>
        <w:tc>
          <w:tcPr>
            <w:tcW w:w="436" w:type="dxa"/>
            <w:tcBorders>
              <w:top w:val="nil"/>
              <w:left w:val="nil"/>
              <w:right w:val="nil"/>
            </w:tcBorders>
          </w:tcPr>
          <w:p w14:paraId="317E560B" w14:textId="77777777" w:rsidR="005A5886" w:rsidRPr="001D69F5" w:rsidRDefault="005A5886" w:rsidP="000F3581">
            <w:pPr>
              <w:pStyle w:val="BodyText"/>
              <w:jc w:val="center"/>
              <w:rPr>
                <w:sz w:val="22"/>
                <w:szCs w:val="22"/>
              </w:rPr>
            </w:pPr>
            <w:r w:rsidRPr="001D69F5">
              <w:rPr>
                <w:sz w:val="22"/>
                <w:szCs w:val="22"/>
              </w:rPr>
              <w:t>44</w:t>
            </w:r>
          </w:p>
        </w:tc>
        <w:tc>
          <w:tcPr>
            <w:tcW w:w="730" w:type="dxa"/>
            <w:tcBorders>
              <w:top w:val="nil"/>
              <w:left w:val="nil"/>
              <w:right w:val="nil"/>
            </w:tcBorders>
          </w:tcPr>
          <w:p w14:paraId="56B7C195" w14:textId="77777777" w:rsidR="005A5886" w:rsidRPr="001D69F5" w:rsidRDefault="005A5886" w:rsidP="000F3581">
            <w:pPr>
              <w:pStyle w:val="BodyText"/>
              <w:jc w:val="center"/>
              <w:rPr>
                <w:sz w:val="22"/>
                <w:szCs w:val="22"/>
              </w:rPr>
            </w:pPr>
            <w:r w:rsidRPr="001D69F5">
              <w:rPr>
                <w:sz w:val="22"/>
                <w:szCs w:val="22"/>
              </w:rPr>
              <w:t>100%</w:t>
            </w:r>
          </w:p>
        </w:tc>
        <w:tc>
          <w:tcPr>
            <w:tcW w:w="601" w:type="dxa"/>
            <w:tcBorders>
              <w:top w:val="nil"/>
              <w:left w:val="nil"/>
              <w:right w:val="nil"/>
            </w:tcBorders>
          </w:tcPr>
          <w:p w14:paraId="628A45F2" w14:textId="77777777" w:rsidR="005A5886" w:rsidRPr="001D69F5" w:rsidRDefault="005A5886" w:rsidP="000F3581">
            <w:pPr>
              <w:pStyle w:val="BodyText"/>
              <w:jc w:val="center"/>
              <w:rPr>
                <w:sz w:val="22"/>
                <w:szCs w:val="22"/>
              </w:rPr>
            </w:pPr>
          </w:p>
        </w:tc>
        <w:tc>
          <w:tcPr>
            <w:tcW w:w="745" w:type="dxa"/>
            <w:tcBorders>
              <w:top w:val="nil"/>
              <w:left w:val="nil"/>
              <w:right w:val="nil"/>
            </w:tcBorders>
          </w:tcPr>
          <w:p w14:paraId="6DAA466E" w14:textId="77777777" w:rsidR="005A5886" w:rsidRPr="001D69F5" w:rsidRDefault="005A5886" w:rsidP="000F3581">
            <w:pPr>
              <w:pStyle w:val="BodyText"/>
              <w:jc w:val="center"/>
              <w:rPr>
                <w:sz w:val="22"/>
                <w:szCs w:val="22"/>
              </w:rPr>
            </w:pPr>
          </w:p>
        </w:tc>
      </w:tr>
      <w:tr w:rsidR="005A5886" w:rsidRPr="001D69F5" w14:paraId="52582622" w14:textId="77777777" w:rsidTr="005A5886">
        <w:tc>
          <w:tcPr>
            <w:tcW w:w="486" w:type="dxa"/>
            <w:tcBorders>
              <w:right w:val="nil"/>
            </w:tcBorders>
          </w:tcPr>
          <w:p w14:paraId="5AE17502" w14:textId="77777777" w:rsidR="005A5886" w:rsidRPr="001D69F5" w:rsidRDefault="005A5886" w:rsidP="000F3581">
            <w:pPr>
              <w:pStyle w:val="BodyText"/>
              <w:jc w:val="center"/>
              <w:rPr>
                <w:sz w:val="22"/>
                <w:szCs w:val="22"/>
              </w:rPr>
            </w:pPr>
          </w:p>
        </w:tc>
        <w:tc>
          <w:tcPr>
            <w:tcW w:w="1334" w:type="dxa"/>
            <w:tcBorders>
              <w:left w:val="nil"/>
              <w:right w:val="nil"/>
            </w:tcBorders>
          </w:tcPr>
          <w:p w14:paraId="1652AD30" w14:textId="77777777" w:rsidR="005A5886" w:rsidRPr="001D69F5" w:rsidRDefault="005A5886" w:rsidP="000F3581">
            <w:pPr>
              <w:pStyle w:val="BodyText"/>
              <w:jc w:val="center"/>
              <w:rPr>
                <w:sz w:val="22"/>
                <w:szCs w:val="22"/>
              </w:rPr>
            </w:pPr>
            <w:r w:rsidRPr="001D69F5">
              <w:rPr>
                <w:sz w:val="22"/>
                <w:szCs w:val="22"/>
              </w:rPr>
              <w:t>Jumlah</w:t>
            </w:r>
          </w:p>
        </w:tc>
        <w:tc>
          <w:tcPr>
            <w:tcW w:w="413" w:type="dxa"/>
            <w:tcBorders>
              <w:left w:val="nil"/>
              <w:right w:val="nil"/>
            </w:tcBorders>
          </w:tcPr>
          <w:p w14:paraId="7CCACDA5" w14:textId="77777777" w:rsidR="005A5886" w:rsidRPr="001D69F5" w:rsidRDefault="005A5886" w:rsidP="000F3581">
            <w:pPr>
              <w:pStyle w:val="BodyText"/>
              <w:jc w:val="center"/>
              <w:rPr>
                <w:sz w:val="22"/>
                <w:szCs w:val="22"/>
              </w:rPr>
            </w:pPr>
            <w:r w:rsidRPr="001D69F5">
              <w:rPr>
                <w:sz w:val="22"/>
                <w:szCs w:val="22"/>
              </w:rPr>
              <w:t>4</w:t>
            </w:r>
          </w:p>
        </w:tc>
        <w:tc>
          <w:tcPr>
            <w:tcW w:w="730" w:type="dxa"/>
            <w:tcBorders>
              <w:left w:val="nil"/>
              <w:right w:val="nil"/>
            </w:tcBorders>
          </w:tcPr>
          <w:p w14:paraId="0B403086" w14:textId="77777777" w:rsidR="005A5886" w:rsidRPr="001D69F5" w:rsidRDefault="005A5886" w:rsidP="000F3581">
            <w:pPr>
              <w:pStyle w:val="BodyText"/>
              <w:jc w:val="center"/>
              <w:rPr>
                <w:sz w:val="22"/>
                <w:szCs w:val="22"/>
              </w:rPr>
            </w:pPr>
            <w:r w:rsidRPr="001D69F5">
              <w:rPr>
                <w:sz w:val="22"/>
                <w:szCs w:val="22"/>
              </w:rPr>
              <w:t>100%</w:t>
            </w:r>
          </w:p>
        </w:tc>
        <w:tc>
          <w:tcPr>
            <w:tcW w:w="465" w:type="dxa"/>
            <w:tcBorders>
              <w:left w:val="nil"/>
              <w:right w:val="nil"/>
            </w:tcBorders>
          </w:tcPr>
          <w:p w14:paraId="389248A4" w14:textId="77777777" w:rsidR="005A5886" w:rsidRPr="001D69F5" w:rsidRDefault="005A5886" w:rsidP="000F3581">
            <w:pPr>
              <w:pStyle w:val="BodyText"/>
              <w:jc w:val="center"/>
              <w:rPr>
                <w:sz w:val="22"/>
                <w:szCs w:val="22"/>
              </w:rPr>
            </w:pPr>
            <w:r w:rsidRPr="001D69F5">
              <w:rPr>
                <w:sz w:val="22"/>
                <w:szCs w:val="22"/>
              </w:rPr>
              <w:t>44</w:t>
            </w:r>
          </w:p>
        </w:tc>
        <w:tc>
          <w:tcPr>
            <w:tcW w:w="730" w:type="dxa"/>
            <w:tcBorders>
              <w:left w:val="nil"/>
              <w:right w:val="nil"/>
            </w:tcBorders>
          </w:tcPr>
          <w:p w14:paraId="5EF98BC0" w14:textId="77777777" w:rsidR="005A5886" w:rsidRPr="001D69F5" w:rsidRDefault="005A5886" w:rsidP="000F3581">
            <w:pPr>
              <w:pStyle w:val="BodyText"/>
              <w:jc w:val="center"/>
              <w:rPr>
                <w:sz w:val="22"/>
                <w:szCs w:val="22"/>
              </w:rPr>
            </w:pPr>
            <w:r w:rsidRPr="001D69F5">
              <w:rPr>
                <w:sz w:val="22"/>
                <w:szCs w:val="22"/>
              </w:rPr>
              <w:t>100%</w:t>
            </w:r>
          </w:p>
        </w:tc>
        <w:tc>
          <w:tcPr>
            <w:tcW w:w="436" w:type="dxa"/>
            <w:tcBorders>
              <w:left w:val="nil"/>
              <w:right w:val="nil"/>
            </w:tcBorders>
          </w:tcPr>
          <w:p w14:paraId="26732C3A" w14:textId="77777777" w:rsidR="005A5886" w:rsidRPr="001D69F5" w:rsidRDefault="005A5886" w:rsidP="000F3581">
            <w:pPr>
              <w:pStyle w:val="BodyText"/>
              <w:jc w:val="center"/>
              <w:rPr>
                <w:sz w:val="22"/>
                <w:szCs w:val="22"/>
              </w:rPr>
            </w:pPr>
          </w:p>
        </w:tc>
        <w:tc>
          <w:tcPr>
            <w:tcW w:w="730" w:type="dxa"/>
            <w:tcBorders>
              <w:left w:val="nil"/>
              <w:right w:val="nil"/>
            </w:tcBorders>
          </w:tcPr>
          <w:p w14:paraId="2B7480FE" w14:textId="77777777" w:rsidR="005A5886" w:rsidRPr="001D69F5" w:rsidRDefault="005A5886" w:rsidP="000F3581">
            <w:pPr>
              <w:pStyle w:val="BodyText"/>
              <w:jc w:val="center"/>
              <w:rPr>
                <w:sz w:val="22"/>
                <w:szCs w:val="22"/>
              </w:rPr>
            </w:pPr>
          </w:p>
        </w:tc>
        <w:tc>
          <w:tcPr>
            <w:tcW w:w="601" w:type="dxa"/>
            <w:tcBorders>
              <w:left w:val="nil"/>
              <w:right w:val="nil"/>
            </w:tcBorders>
          </w:tcPr>
          <w:p w14:paraId="2F855489" w14:textId="77777777" w:rsidR="005A5886" w:rsidRPr="001D69F5" w:rsidRDefault="005A5886" w:rsidP="000F3581">
            <w:pPr>
              <w:pStyle w:val="BodyText"/>
              <w:jc w:val="center"/>
              <w:rPr>
                <w:sz w:val="22"/>
                <w:szCs w:val="22"/>
              </w:rPr>
            </w:pPr>
          </w:p>
        </w:tc>
        <w:tc>
          <w:tcPr>
            <w:tcW w:w="745" w:type="dxa"/>
            <w:tcBorders>
              <w:left w:val="nil"/>
              <w:right w:val="nil"/>
            </w:tcBorders>
          </w:tcPr>
          <w:p w14:paraId="2908D174" w14:textId="77777777" w:rsidR="005A5886" w:rsidRPr="001D69F5" w:rsidRDefault="005A5886" w:rsidP="000F3581">
            <w:pPr>
              <w:pStyle w:val="BodyText"/>
              <w:jc w:val="center"/>
              <w:rPr>
                <w:sz w:val="22"/>
                <w:szCs w:val="22"/>
              </w:rPr>
            </w:pPr>
          </w:p>
        </w:tc>
      </w:tr>
    </w:tbl>
    <w:p w14:paraId="2A6CAEDE" w14:textId="77777777" w:rsidR="00B62D91" w:rsidRPr="00B62D91" w:rsidRDefault="005A5886" w:rsidP="00B62D91">
      <w:pPr>
        <w:pStyle w:val="BodyText"/>
        <w:spacing w:line="360" w:lineRule="auto"/>
        <w:ind w:left="1530"/>
        <w:jc w:val="both"/>
        <w:rPr>
          <w:lang w:val="en-US"/>
        </w:rPr>
      </w:pPr>
      <w:r w:rsidRPr="005A5886">
        <w:t>Hasil analisis</w:t>
      </w:r>
      <w:r>
        <w:t xml:space="preserve"> 4.10</w:t>
      </w:r>
      <w:r w:rsidRPr="005A5886">
        <w:t xml:space="preserve"> </w:t>
      </w:r>
      <w:r w:rsidR="00432072">
        <w:t xml:space="preserve"> </w:t>
      </w:r>
      <w:proofErr w:type="spellStart"/>
      <w:r w:rsidR="00B62D91" w:rsidRPr="00B62D91">
        <w:rPr>
          <w:lang w:val="en-US"/>
        </w:rPr>
        <w:t>Analisis</w:t>
      </w:r>
      <w:proofErr w:type="spellEnd"/>
      <w:r w:rsidR="00B62D91" w:rsidRPr="00B62D91">
        <w:rPr>
          <w:lang w:val="en-US"/>
        </w:rPr>
        <w:t xml:space="preserve"> </w:t>
      </w:r>
      <w:proofErr w:type="spellStart"/>
      <w:r w:rsidR="00B62D91" w:rsidRPr="00B62D91">
        <w:rPr>
          <w:lang w:val="en-US"/>
        </w:rPr>
        <w:t>menunjukkan</w:t>
      </w:r>
      <w:proofErr w:type="spellEnd"/>
      <w:r w:rsidR="00B62D91" w:rsidRPr="00B62D91">
        <w:rPr>
          <w:lang w:val="en-US"/>
        </w:rPr>
        <w:t xml:space="preserve"> </w:t>
      </w:r>
      <w:proofErr w:type="spellStart"/>
      <w:r w:rsidR="00B62D91" w:rsidRPr="00B62D91">
        <w:rPr>
          <w:lang w:val="en-US"/>
        </w:rPr>
        <w:t>bahwa</w:t>
      </w:r>
      <w:proofErr w:type="spellEnd"/>
      <w:r w:rsidR="00B62D91" w:rsidRPr="00B62D91">
        <w:rPr>
          <w:lang w:val="en-US"/>
        </w:rPr>
        <w:t xml:space="preserve"> </w:t>
      </w:r>
      <w:proofErr w:type="spellStart"/>
      <w:r w:rsidR="00B62D91" w:rsidRPr="00B62D91">
        <w:rPr>
          <w:lang w:val="en-US"/>
        </w:rPr>
        <w:t>seluruh</w:t>
      </w:r>
      <w:proofErr w:type="spellEnd"/>
      <w:r w:rsidR="00B62D91" w:rsidRPr="00B62D91">
        <w:rPr>
          <w:lang w:val="en-US"/>
        </w:rPr>
        <w:t xml:space="preserve"> </w:t>
      </w:r>
      <w:proofErr w:type="spellStart"/>
      <w:r w:rsidR="00B62D91" w:rsidRPr="00B62D91">
        <w:rPr>
          <w:lang w:val="en-US"/>
        </w:rPr>
        <w:t>pasien</w:t>
      </w:r>
      <w:proofErr w:type="spellEnd"/>
      <w:r w:rsidR="00B62D91" w:rsidRPr="00B62D91">
        <w:rPr>
          <w:lang w:val="en-US"/>
        </w:rPr>
        <w:t xml:space="preserve"> yang </w:t>
      </w:r>
      <w:proofErr w:type="spellStart"/>
      <w:r w:rsidR="00B62D91" w:rsidRPr="00B62D91">
        <w:rPr>
          <w:lang w:val="en-US"/>
        </w:rPr>
        <w:t>patuh</w:t>
      </w:r>
      <w:proofErr w:type="spellEnd"/>
      <w:r w:rsidR="00B62D91" w:rsidRPr="00B62D91">
        <w:rPr>
          <w:lang w:val="en-US"/>
        </w:rPr>
        <w:t xml:space="preserve"> </w:t>
      </w:r>
      <w:proofErr w:type="spellStart"/>
      <w:r w:rsidR="00B62D91" w:rsidRPr="00B62D91">
        <w:rPr>
          <w:lang w:val="en-US"/>
        </w:rPr>
        <w:t>menjalani</w:t>
      </w:r>
      <w:proofErr w:type="spellEnd"/>
      <w:r w:rsidR="00B62D91" w:rsidRPr="00B62D91">
        <w:rPr>
          <w:lang w:val="en-US"/>
        </w:rPr>
        <w:t xml:space="preserve"> </w:t>
      </w:r>
      <w:proofErr w:type="spellStart"/>
      <w:r w:rsidR="00B62D91" w:rsidRPr="00B62D91">
        <w:rPr>
          <w:lang w:val="en-US"/>
        </w:rPr>
        <w:t>hemodialisis</w:t>
      </w:r>
      <w:proofErr w:type="spellEnd"/>
      <w:r w:rsidR="00B62D91" w:rsidRPr="00B62D91">
        <w:rPr>
          <w:lang w:val="en-US"/>
        </w:rPr>
        <w:t xml:space="preserve"> </w:t>
      </w:r>
      <w:proofErr w:type="spellStart"/>
      <w:r w:rsidR="00B62D91" w:rsidRPr="00B62D91">
        <w:rPr>
          <w:lang w:val="en-US"/>
        </w:rPr>
        <w:t>memiliki</w:t>
      </w:r>
      <w:proofErr w:type="spellEnd"/>
      <w:r w:rsidR="00B62D91" w:rsidRPr="00B62D91">
        <w:rPr>
          <w:lang w:val="en-US"/>
        </w:rPr>
        <w:t xml:space="preserve"> </w:t>
      </w:r>
      <w:proofErr w:type="spellStart"/>
      <w:r w:rsidR="00B62D91" w:rsidRPr="00B62D91">
        <w:rPr>
          <w:lang w:val="en-US"/>
        </w:rPr>
        <w:t>kualitas</w:t>
      </w:r>
      <w:proofErr w:type="spellEnd"/>
      <w:r w:rsidR="00B62D91" w:rsidRPr="00B62D91">
        <w:rPr>
          <w:lang w:val="en-US"/>
        </w:rPr>
        <w:t xml:space="preserve"> </w:t>
      </w:r>
      <w:proofErr w:type="spellStart"/>
      <w:r w:rsidR="00B62D91" w:rsidRPr="00B62D91">
        <w:rPr>
          <w:lang w:val="en-US"/>
        </w:rPr>
        <w:t>hidup</w:t>
      </w:r>
      <w:proofErr w:type="spellEnd"/>
      <w:r w:rsidR="00B62D91" w:rsidRPr="00B62D91">
        <w:rPr>
          <w:lang w:val="en-US"/>
        </w:rPr>
        <w:t xml:space="preserve"> </w:t>
      </w:r>
      <w:proofErr w:type="spellStart"/>
      <w:r w:rsidR="00B62D91" w:rsidRPr="00B62D91">
        <w:rPr>
          <w:lang w:val="en-US"/>
        </w:rPr>
        <w:t>baik</w:t>
      </w:r>
      <w:proofErr w:type="spellEnd"/>
      <w:r w:rsidR="00B62D91" w:rsidRPr="00B62D91">
        <w:rPr>
          <w:lang w:val="en-US"/>
        </w:rPr>
        <w:t xml:space="preserve"> (100%), </w:t>
      </w:r>
      <w:proofErr w:type="spellStart"/>
      <w:r w:rsidR="00B62D91" w:rsidRPr="00B62D91">
        <w:rPr>
          <w:lang w:val="en-US"/>
        </w:rPr>
        <w:t>sedangkan</w:t>
      </w:r>
      <w:proofErr w:type="spellEnd"/>
      <w:r w:rsidR="00B62D91" w:rsidRPr="00B62D91">
        <w:rPr>
          <w:lang w:val="en-US"/>
        </w:rPr>
        <w:t xml:space="preserve"> yang </w:t>
      </w:r>
      <w:proofErr w:type="spellStart"/>
      <w:r w:rsidR="00B62D91" w:rsidRPr="00B62D91">
        <w:rPr>
          <w:lang w:val="en-US"/>
        </w:rPr>
        <w:t>tidak</w:t>
      </w:r>
      <w:proofErr w:type="spellEnd"/>
      <w:r w:rsidR="00B62D91" w:rsidRPr="00B62D91">
        <w:rPr>
          <w:lang w:val="en-US"/>
        </w:rPr>
        <w:t xml:space="preserve"> </w:t>
      </w:r>
      <w:proofErr w:type="spellStart"/>
      <w:r w:rsidR="00B62D91" w:rsidRPr="00B62D91">
        <w:rPr>
          <w:lang w:val="en-US"/>
        </w:rPr>
        <w:t>patuh</w:t>
      </w:r>
      <w:proofErr w:type="spellEnd"/>
      <w:r w:rsidR="00B62D91" w:rsidRPr="00B62D91">
        <w:rPr>
          <w:lang w:val="en-US"/>
        </w:rPr>
        <w:t xml:space="preserve"> </w:t>
      </w:r>
      <w:proofErr w:type="spellStart"/>
      <w:r w:rsidR="00B62D91" w:rsidRPr="00B62D91">
        <w:rPr>
          <w:lang w:val="en-US"/>
        </w:rPr>
        <w:t>seluruhnya</w:t>
      </w:r>
      <w:proofErr w:type="spellEnd"/>
      <w:r w:rsidR="00B62D91" w:rsidRPr="00B62D91">
        <w:rPr>
          <w:lang w:val="en-US"/>
        </w:rPr>
        <w:t xml:space="preserve"> </w:t>
      </w:r>
      <w:proofErr w:type="spellStart"/>
      <w:r w:rsidR="00B62D91" w:rsidRPr="00B62D91">
        <w:rPr>
          <w:lang w:val="en-US"/>
        </w:rPr>
        <w:t>memiliki</w:t>
      </w:r>
      <w:proofErr w:type="spellEnd"/>
      <w:r w:rsidR="00B62D91" w:rsidRPr="00B62D91">
        <w:rPr>
          <w:lang w:val="en-US"/>
        </w:rPr>
        <w:t xml:space="preserve"> </w:t>
      </w:r>
      <w:proofErr w:type="spellStart"/>
      <w:r w:rsidR="00B62D91" w:rsidRPr="00B62D91">
        <w:rPr>
          <w:lang w:val="en-US"/>
        </w:rPr>
        <w:t>kualitas</w:t>
      </w:r>
      <w:proofErr w:type="spellEnd"/>
      <w:r w:rsidR="00B62D91" w:rsidRPr="00B62D91">
        <w:rPr>
          <w:lang w:val="en-US"/>
        </w:rPr>
        <w:t xml:space="preserve"> </w:t>
      </w:r>
      <w:proofErr w:type="spellStart"/>
      <w:r w:rsidR="00B62D91" w:rsidRPr="00B62D91">
        <w:rPr>
          <w:lang w:val="en-US"/>
        </w:rPr>
        <w:t>hidup</w:t>
      </w:r>
      <w:proofErr w:type="spellEnd"/>
      <w:r w:rsidR="00B62D91" w:rsidRPr="00B62D91">
        <w:rPr>
          <w:lang w:val="en-US"/>
        </w:rPr>
        <w:t xml:space="preserve"> </w:t>
      </w:r>
      <w:proofErr w:type="spellStart"/>
      <w:r w:rsidR="00B62D91" w:rsidRPr="00B62D91">
        <w:rPr>
          <w:lang w:val="en-US"/>
        </w:rPr>
        <w:t>sedang</w:t>
      </w:r>
      <w:proofErr w:type="spellEnd"/>
      <w:r w:rsidR="00B62D91" w:rsidRPr="00B62D91">
        <w:rPr>
          <w:lang w:val="en-US"/>
        </w:rPr>
        <w:t xml:space="preserve"> (100%). Uji </w:t>
      </w:r>
      <w:proofErr w:type="spellStart"/>
      <w:r w:rsidR="00B62D91" w:rsidRPr="00B62D91">
        <w:rPr>
          <w:lang w:val="en-US"/>
        </w:rPr>
        <w:t>statistik</w:t>
      </w:r>
      <w:proofErr w:type="spellEnd"/>
      <w:r w:rsidR="00B62D91" w:rsidRPr="00B62D91">
        <w:rPr>
          <w:lang w:val="en-US"/>
        </w:rPr>
        <w:t xml:space="preserve"> </w:t>
      </w:r>
      <w:proofErr w:type="spellStart"/>
      <w:r w:rsidR="00B62D91" w:rsidRPr="00B62D91">
        <w:rPr>
          <w:lang w:val="en-US"/>
        </w:rPr>
        <w:t>menghasilkan</w:t>
      </w:r>
      <w:proofErr w:type="spellEnd"/>
      <w:r w:rsidR="00B62D91" w:rsidRPr="00B62D91">
        <w:rPr>
          <w:lang w:val="en-US"/>
        </w:rPr>
        <w:t xml:space="preserve"> p &lt; 0,001, </w:t>
      </w:r>
      <w:proofErr w:type="spellStart"/>
      <w:r w:rsidR="00B62D91" w:rsidRPr="00B62D91">
        <w:rPr>
          <w:lang w:val="en-US"/>
        </w:rPr>
        <w:t>menandakan</w:t>
      </w:r>
      <w:proofErr w:type="spellEnd"/>
      <w:r w:rsidR="00B62D91" w:rsidRPr="00B62D91">
        <w:rPr>
          <w:lang w:val="en-US"/>
        </w:rPr>
        <w:t xml:space="preserve"> </w:t>
      </w:r>
      <w:proofErr w:type="spellStart"/>
      <w:r w:rsidR="00B62D91" w:rsidRPr="00B62D91">
        <w:rPr>
          <w:lang w:val="en-US"/>
        </w:rPr>
        <w:t>hubungan</w:t>
      </w:r>
      <w:proofErr w:type="spellEnd"/>
      <w:r w:rsidR="00B62D91" w:rsidRPr="00B62D91">
        <w:rPr>
          <w:lang w:val="en-US"/>
        </w:rPr>
        <w:t xml:space="preserve"> yang </w:t>
      </w:r>
      <w:proofErr w:type="spellStart"/>
      <w:r w:rsidR="00B62D91" w:rsidRPr="00B62D91">
        <w:rPr>
          <w:lang w:val="en-US"/>
        </w:rPr>
        <w:t>sangat</w:t>
      </w:r>
      <w:proofErr w:type="spellEnd"/>
      <w:r w:rsidR="00B62D91" w:rsidRPr="00B62D91">
        <w:rPr>
          <w:lang w:val="en-US"/>
        </w:rPr>
        <w:t xml:space="preserve"> </w:t>
      </w:r>
      <w:proofErr w:type="spellStart"/>
      <w:r w:rsidR="00B62D91" w:rsidRPr="00B62D91">
        <w:rPr>
          <w:lang w:val="en-US"/>
        </w:rPr>
        <w:t>signifikan</w:t>
      </w:r>
      <w:proofErr w:type="spellEnd"/>
      <w:r w:rsidR="00B62D91" w:rsidRPr="00B62D91">
        <w:rPr>
          <w:lang w:val="en-US"/>
        </w:rPr>
        <w:t xml:space="preserve"> </w:t>
      </w:r>
      <w:proofErr w:type="spellStart"/>
      <w:r w:rsidR="00B62D91" w:rsidRPr="00B62D91">
        <w:rPr>
          <w:lang w:val="en-US"/>
        </w:rPr>
        <w:t>antara</w:t>
      </w:r>
      <w:proofErr w:type="spellEnd"/>
      <w:r w:rsidR="00B62D91" w:rsidRPr="00B62D91">
        <w:rPr>
          <w:lang w:val="en-US"/>
        </w:rPr>
        <w:t xml:space="preserve"> </w:t>
      </w:r>
      <w:proofErr w:type="spellStart"/>
      <w:r w:rsidR="00B62D91" w:rsidRPr="00B62D91">
        <w:rPr>
          <w:lang w:val="en-US"/>
        </w:rPr>
        <w:t>kepatuhan</w:t>
      </w:r>
      <w:proofErr w:type="spellEnd"/>
      <w:r w:rsidR="00B62D91" w:rsidRPr="00B62D91">
        <w:rPr>
          <w:lang w:val="en-US"/>
        </w:rPr>
        <w:t xml:space="preserve"> </w:t>
      </w:r>
      <w:proofErr w:type="spellStart"/>
      <w:r w:rsidR="00B62D91" w:rsidRPr="00B62D91">
        <w:rPr>
          <w:lang w:val="en-US"/>
        </w:rPr>
        <w:t>menjalani</w:t>
      </w:r>
      <w:proofErr w:type="spellEnd"/>
      <w:r w:rsidR="00B62D91" w:rsidRPr="00B62D91">
        <w:rPr>
          <w:lang w:val="en-US"/>
        </w:rPr>
        <w:t xml:space="preserve"> </w:t>
      </w:r>
      <w:proofErr w:type="spellStart"/>
      <w:r w:rsidR="00B62D91" w:rsidRPr="00B62D91">
        <w:rPr>
          <w:lang w:val="en-US"/>
        </w:rPr>
        <w:t>hemodialisis</w:t>
      </w:r>
      <w:proofErr w:type="spellEnd"/>
      <w:r w:rsidR="00B62D91" w:rsidRPr="00B62D91">
        <w:rPr>
          <w:lang w:val="en-US"/>
        </w:rPr>
        <w:t xml:space="preserve"> dan </w:t>
      </w:r>
      <w:proofErr w:type="spellStart"/>
      <w:r w:rsidR="00B62D91" w:rsidRPr="00B62D91">
        <w:rPr>
          <w:lang w:val="en-US"/>
        </w:rPr>
        <w:t>kualitas</w:t>
      </w:r>
      <w:proofErr w:type="spellEnd"/>
      <w:r w:rsidR="00B62D91" w:rsidRPr="00B62D91">
        <w:rPr>
          <w:lang w:val="en-US"/>
        </w:rPr>
        <w:t xml:space="preserve"> </w:t>
      </w:r>
      <w:proofErr w:type="spellStart"/>
      <w:r w:rsidR="00B62D91" w:rsidRPr="00B62D91">
        <w:rPr>
          <w:lang w:val="en-US"/>
        </w:rPr>
        <w:t>hidup</w:t>
      </w:r>
      <w:proofErr w:type="spellEnd"/>
      <w:r w:rsidR="00B62D91" w:rsidRPr="00B62D91">
        <w:rPr>
          <w:lang w:val="en-US"/>
        </w:rPr>
        <w:t xml:space="preserve"> </w:t>
      </w:r>
      <w:proofErr w:type="spellStart"/>
      <w:proofErr w:type="gramStart"/>
      <w:r w:rsidR="00B62D91" w:rsidRPr="00B62D91">
        <w:rPr>
          <w:lang w:val="en-US"/>
        </w:rPr>
        <w:t>pasien.Pembahasan</w:t>
      </w:r>
      <w:proofErr w:type="spellEnd"/>
      <w:proofErr w:type="gramEnd"/>
      <w:r w:rsidR="00B62D91" w:rsidRPr="00B62D91">
        <w:rPr>
          <w:lang w:val="en-US"/>
        </w:rPr>
        <w:t xml:space="preserve"> </w:t>
      </w:r>
      <w:proofErr w:type="spellStart"/>
      <w:r w:rsidR="00B62D91" w:rsidRPr="00B62D91">
        <w:rPr>
          <w:lang w:val="en-US"/>
        </w:rPr>
        <w:t>penelitian</w:t>
      </w:r>
      <w:proofErr w:type="spellEnd"/>
    </w:p>
    <w:p w14:paraId="0F3B4B8D" w14:textId="267D3F0F" w:rsidR="005A5886" w:rsidRDefault="00860849" w:rsidP="00B62D91">
      <w:pPr>
        <w:pStyle w:val="BodyText"/>
        <w:spacing w:line="360" w:lineRule="auto"/>
        <w:ind w:left="1530"/>
        <w:jc w:val="both"/>
      </w:pPr>
      <w:r>
        <w:t>Analisa univariat</w:t>
      </w:r>
    </w:p>
    <w:p w14:paraId="289CA652" w14:textId="1E1EF425" w:rsidR="00860849" w:rsidRDefault="00860849" w:rsidP="00860849">
      <w:pPr>
        <w:pStyle w:val="BodyText"/>
        <w:numPr>
          <w:ilvl w:val="0"/>
          <w:numId w:val="7"/>
        </w:numPr>
        <w:spacing w:line="360" w:lineRule="auto"/>
        <w:jc w:val="both"/>
      </w:pPr>
      <w:r>
        <w:t>Kepatuhan menjalani terapi hemodialisa</w:t>
      </w:r>
    </w:p>
    <w:p w14:paraId="07447262" w14:textId="35A705BF" w:rsidR="00B62D91" w:rsidRDefault="00B62D91" w:rsidP="002329DC">
      <w:pPr>
        <w:pStyle w:val="BodyText"/>
        <w:spacing w:line="360" w:lineRule="auto"/>
        <w:ind w:left="1890"/>
        <w:jc w:val="both"/>
      </w:pPr>
      <w:r w:rsidRPr="00B62D91">
        <w:rPr>
          <w:lang w:val="en-US"/>
        </w:rPr>
        <w:t xml:space="preserve">Hasil </w:t>
      </w:r>
      <w:proofErr w:type="spellStart"/>
      <w:r w:rsidRPr="00B62D91">
        <w:rPr>
          <w:lang w:val="en-US"/>
        </w:rPr>
        <w:t>penelitian</w:t>
      </w:r>
      <w:proofErr w:type="spellEnd"/>
      <w:r w:rsidRPr="00B62D91">
        <w:rPr>
          <w:lang w:val="en-US"/>
        </w:rPr>
        <w:t xml:space="preserve"> </w:t>
      </w:r>
      <w:proofErr w:type="spellStart"/>
      <w:r w:rsidRPr="00B62D91">
        <w:rPr>
          <w:lang w:val="en-US"/>
        </w:rPr>
        <w:t>menunjukkan</w:t>
      </w:r>
      <w:proofErr w:type="spellEnd"/>
      <w:r w:rsidRPr="00B62D91">
        <w:rPr>
          <w:lang w:val="en-US"/>
        </w:rPr>
        <w:t xml:space="preserve"> 91,7% </w:t>
      </w:r>
      <w:proofErr w:type="spellStart"/>
      <w:r w:rsidRPr="00B62D91">
        <w:rPr>
          <w:lang w:val="en-US"/>
        </w:rPr>
        <w:t>responden</w:t>
      </w:r>
      <w:proofErr w:type="spellEnd"/>
      <w:r w:rsidRPr="00B62D91">
        <w:rPr>
          <w:lang w:val="en-US"/>
        </w:rPr>
        <w:t xml:space="preserve"> </w:t>
      </w:r>
      <w:proofErr w:type="spellStart"/>
      <w:r w:rsidRPr="00B62D91">
        <w:rPr>
          <w:lang w:val="en-US"/>
        </w:rPr>
        <w:t>patuh</w:t>
      </w:r>
      <w:proofErr w:type="spellEnd"/>
      <w:r w:rsidRPr="00B62D91">
        <w:rPr>
          <w:lang w:val="en-US"/>
        </w:rPr>
        <w:t xml:space="preserve">, </w:t>
      </w:r>
      <w:proofErr w:type="spellStart"/>
      <w:r w:rsidRPr="00B62D91">
        <w:rPr>
          <w:lang w:val="en-US"/>
        </w:rPr>
        <w:t>sejalan</w:t>
      </w:r>
      <w:proofErr w:type="spellEnd"/>
      <w:r w:rsidRPr="00B62D91">
        <w:rPr>
          <w:lang w:val="en-US"/>
        </w:rPr>
        <w:t xml:space="preserve"> </w:t>
      </w:r>
      <w:proofErr w:type="spellStart"/>
      <w:r w:rsidRPr="00B62D91">
        <w:rPr>
          <w:lang w:val="en-US"/>
        </w:rPr>
        <w:t>dengan</w:t>
      </w:r>
      <w:proofErr w:type="spellEnd"/>
      <w:r w:rsidRPr="00B62D91">
        <w:rPr>
          <w:lang w:val="en-US"/>
        </w:rPr>
        <w:t xml:space="preserve"> </w:t>
      </w:r>
      <w:proofErr w:type="spellStart"/>
      <w:r w:rsidRPr="00B62D91">
        <w:rPr>
          <w:lang w:val="en-US"/>
        </w:rPr>
        <w:t>studi</w:t>
      </w:r>
      <w:proofErr w:type="spellEnd"/>
      <w:r w:rsidRPr="00B62D91">
        <w:rPr>
          <w:lang w:val="en-US"/>
        </w:rPr>
        <w:t xml:space="preserve"> </w:t>
      </w:r>
      <w:proofErr w:type="spellStart"/>
      <w:r w:rsidRPr="00B62D91">
        <w:rPr>
          <w:lang w:val="en-US"/>
        </w:rPr>
        <w:t>sebelumnya</w:t>
      </w:r>
      <w:proofErr w:type="spellEnd"/>
      <w:r w:rsidRPr="00B62D91">
        <w:rPr>
          <w:lang w:val="en-US"/>
        </w:rPr>
        <w:t xml:space="preserve"> (</w:t>
      </w:r>
      <w:proofErr w:type="spellStart"/>
      <w:r w:rsidRPr="00B62D91">
        <w:rPr>
          <w:lang w:val="en-US"/>
        </w:rPr>
        <w:t>Susantri</w:t>
      </w:r>
      <w:proofErr w:type="spellEnd"/>
      <w:r w:rsidRPr="00B62D91">
        <w:rPr>
          <w:lang w:val="en-US"/>
        </w:rPr>
        <w:t xml:space="preserve"> et al., 2022) yang juga </w:t>
      </w:r>
      <w:proofErr w:type="spellStart"/>
      <w:r w:rsidRPr="00B62D91">
        <w:rPr>
          <w:lang w:val="en-US"/>
        </w:rPr>
        <w:t>menemukan</w:t>
      </w:r>
      <w:proofErr w:type="spellEnd"/>
      <w:r w:rsidRPr="00B62D91">
        <w:rPr>
          <w:lang w:val="en-US"/>
        </w:rPr>
        <w:t xml:space="preserve"> </w:t>
      </w:r>
      <w:proofErr w:type="spellStart"/>
      <w:r w:rsidRPr="00B62D91">
        <w:rPr>
          <w:lang w:val="en-US"/>
        </w:rPr>
        <w:t>tingkat</w:t>
      </w:r>
      <w:proofErr w:type="spellEnd"/>
      <w:r w:rsidRPr="00B62D91">
        <w:rPr>
          <w:lang w:val="en-US"/>
        </w:rPr>
        <w:t xml:space="preserve"> </w:t>
      </w:r>
      <w:proofErr w:type="spellStart"/>
      <w:r w:rsidRPr="00B62D91">
        <w:rPr>
          <w:lang w:val="en-US"/>
        </w:rPr>
        <w:t>kepatuhan</w:t>
      </w:r>
      <w:proofErr w:type="spellEnd"/>
      <w:r w:rsidRPr="00B62D91">
        <w:rPr>
          <w:lang w:val="en-US"/>
        </w:rPr>
        <w:t xml:space="preserve"> </w:t>
      </w:r>
      <w:proofErr w:type="spellStart"/>
      <w:r w:rsidRPr="00B62D91">
        <w:rPr>
          <w:lang w:val="en-US"/>
        </w:rPr>
        <w:t>tinggi</w:t>
      </w:r>
      <w:proofErr w:type="spellEnd"/>
      <w:r w:rsidRPr="00B62D91">
        <w:rPr>
          <w:lang w:val="en-US"/>
        </w:rPr>
        <w:t xml:space="preserve">. </w:t>
      </w:r>
      <w:proofErr w:type="spellStart"/>
      <w:r w:rsidRPr="00B62D91">
        <w:rPr>
          <w:lang w:val="en-US"/>
        </w:rPr>
        <w:t>Kepatuhan</w:t>
      </w:r>
      <w:proofErr w:type="spellEnd"/>
      <w:r w:rsidRPr="00B62D91">
        <w:rPr>
          <w:lang w:val="en-US"/>
        </w:rPr>
        <w:t xml:space="preserve"> </w:t>
      </w:r>
      <w:proofErr w:type="spellStart"/>
      <w:r w:rsidRPr="00B62D91">
        <w:rPr>
          <w:lang w:val="en-US"/>
        </w:rPr>
        <w:t>menjadi</w:t>
      </w:r>
      <w:proofErr w:type="spellEnd"/>
      <w:r w:rsidRPr="00B62D91">
        <w:rPr>
          <w:lang w:val="en-US"/>
        </w:rPr>
        <w:t xml:space="preserve"> </w:t>
      </w:r>
      <w:proofErr w:type="spellStart"/>
      <w:r w:rsidRPr="00B62D91">
        <w:rPr>
          <w:lang w:val="en-US"/>
        </w:rPr>
        <w:t>kunci</w:t>
      </w:r>
      <w:proofErr w:type="spellEnd"/>
      <w:r w:rsidRPr="00B62D91">
        <w:rPr>
          <w:lang w:val="en-US"/>
        </w:rPr>
        <w:t xml:space="preserve"> </w:t>
      </w:r>
      <w:proofErr w:type="spellStart"/>
      <w:r w:rsidRPr="00B62D91">
        <w:rPr>
          <w:lang w:val="en-US"/>
        </w:rPr>
        <w:t>pencegahan</w:t>
      </w:r>
      <w:proofErr w:type="spellEnd"/>
      <w:r w:rsidRPr="00B62D91">
        <w:rPr>
          <w:lang w:val="en-US"/>
        </w:rPr>
        <w:t xml:space="preserve"> </w:t>
      </w:r>
      <w:proofErr w:type="spellStart"/>
      <w:r w:rsidRPr="00B62D91">
        <w:rPr>
          <w:lang w:val="en-US"/>
        </w:rPr>
        <w:t>akumulasi</w:t>
      </w:r>
      <w:proofErr w:type="spellEnd"/>
      <w:r w:rsidRPr="00B62D91">
        <w:rPr>
          <w:lang w:val="en-US"/>
        </w:rPr>
        <w:t xml:space="preserve"> </w:t>
      </w:r>
      <w:proofErr w:type="spellStart"/>
      <w:r w:rsidRPr="00B62D91">
        <w:rPr>
          <w:lang w:val="en-US"/>
        </w:rPr>
        <w:t>toksin</w:t>
      </w:r>
      <w:proofErr w:type="spellEnd"/>
      <w:r w:rsidRPr="00B62D91">
        <w:rPr>
          <w:lang w:val="en-US"/>
        </w:rPr>
        <w:t xml:space="preserve"> dan </w:t>
      </w:r>
      <w:proofErr w:type="spellStart"/>
      <w:r w:rsidRPr="00B62D91">
        <w:rPr>
          <w:lang w:val="en-US"/>
        </w:rPr>
        <w:t>komplikasi</w:t>
      </w:r>
      <w:proofErr w:type="spellEnd"/>
      <w:r w:rsidRPr="00B62D91">
        <w:rPr>
          <w:lang w:val="en-US"/>
        </w:rPr>
        <w:t xml:space="preserve"> yang </w:t>
      </w:r>
      <w:proofErr w:type="spellStart"/>
      <w:r w:rsidRPr="00B62D91">
        <w:rPr>
          <w:lang w:val="en-US"/>
        </w:rPr>
        <w:t>dapat</w:t>
      </w:r>
      <w:proofErr w:type="spellEnd"/>
      <w:r w:rsidRPr="00B62D91">
        <w:rPr>
          <w:lang w:val="en-US"/>
        </w:rPr>
        <w:t xml:space="preserve"> </w:t>
      </w:r>
      <w:proofErr w:type="spellStart"/>
      <w:r w:rsidRPr="00B62D91">
        <w:rPr>
          <w:lang w:val="en-US"/>
        </w:rPr>
        <w:t>menurunkan</w:t>
      </w:r>
      <w:proofErr w:type="spellEnd"/>
      <w:r w:rsidRPr="00B62D91">
        <w:rPr>
          <w:lang w:val="en-US"/>
        </w:rPr>
        <w:t xml:space="preserve"> </w:t>
      </w:r>
      <w:proofErr w:type="spellStart"/>
      <w:r w:rsidRPr="00B62D91">
        <w:rPr>
          <w:lang w:val="en-US"/>
        </w:rPr>
        <w:t>kualitas</w:t>
      </w:r>
      <w:proofErr w:type="spellEnd"/>
      <w:r w:rsidRPr="00B62D91">
        <w:rPr>
          <w:lang w:val="en-US"/>
        </w:rPr>
        <w:t xml:space="preserve"> </w:t>
      </w:r>
      <w:proofErr w:type="spellStart"/>
      <w:r w:rsidRPr="00B62D91">
        <w:rPr>
          <w:lang w:val="en-US"/>
        </w:rPr>
        <w:t>hidup</w:t>
      </w:r>
      <w:proofErr w:type="spellEnd"/>
      <w:r w:rsidRPr="00B62D91">
        <w:rPr>
          <w:lang w:val="en-US"/>
        </w:rPr>
        <w:t xml:space="preserve"> </w:t>
      </w:r>
      <w:proofErr w:type="spellStart"/>
      <w:r w:rsidRPr="00B62D91">
        <w:rPr>
          <w:lang w:val="en-US"/>
        </w:rPr>
        <w:t>serta</w:t>
      </w:r>
      <w:proofErr w:type="spellEnd"/>
      <w:r w:rsidRPr="00B62D91">
        <w:rPr>
          <w:lang w:val="en-US"/>
        </w:rPr>
        <w:t xml:space="preserve"> </w:t>
      </w:r>
      <w:proofErr w:type="spellStart"/>
      <w:r w:rsidRPr="00B62D91">
        <w:rPr>
          <w:lang w:val="en-US"/>
        </w:rPr>
        <w:t>meningkatkan</w:t>
      </w:r>
      <w:proofErr w:type="spellEnd"/>
      <w:r w:rsidRPr="00B62D91">
        <w:rPr>
          <w:lang w:val="en-US"/>
        </w:rPr>
        <w:t xml:space="preserve"> </w:t>
      </w:r>
      <w:proofErr w:type="spellStart"/>
      <w:r w:rsidRPr="00B62D91">
        <w:rPr>
          <w:lang w:val="en-US"/>
        </w:rPr>
        <w:lastRenderedPageBreak/>
        <w:t>risiko</w:t>
      </w:r>
      <w:proofErr w:type="spellEnd"/>
      <w:r w:rsidRPr="00B62D91">
        <w:rPr>
          <w:lang w:val="en-US"/>
        </w:rPr>
        <w:t xml:space="preserve"> </w:t>
      </w:r>
      <w:proofErr w:type="spellStart"/>
      <w:r w:rsidRPr="00B62D91">
        <w:rPr>
          <w:lang w:val="en-US"/>
        </w:rPr>
        <w:t>mortalitas</w:t>
      </w:r>
      <w:proofErr w:type="spellEnd"/>
    </w:p>
    <w:p w14:paraId="2D88C6A8" w14:textId="27B63939" w:rsidR="00860849" w:rsidRDefault="00860849" w:rsidP="002329DC">
      <w:pPr>
        <w:pStyle w:val="BodyText"/>
        <w:numPr>
          <w:ilvl w:val="0"/>
          <w:numId w:val="7"/>
        </w:numPr>
        <w:spacing w:line="360" w:lineRule="auto"/>
        <w:jc w:val="both"/>
      </w:pPr>
      <w:r>
        <w:t>Kualitas hidup pasien gagal ginjal kronik</w:t>
      </w:r>
    </w:p>
    <w:p w14:paraId="333E360D" w14:textId="77777777" w:rsidR="00B62D91" w:rsidRPr="00B62D91" w:rsidRDefault="00B62D91" w:rsidP="002329DC">
      <w:pPr>
        <w:pStyle w:val="ListParagraph"/>
        <w:spacing w:line="360" w:lineRule="auto"/>
        <w:ind w:left="1890"/>
        <w:jc w:val="both"/>
        <w:rPr>
          <w:rFonts w:ascii="Times New Roman" w:hAnsi="Times New Roman" w:cs="Times New Roman"/>
        </w:rPr>
      </w:pPr>
      <w:proofErr w:type="spellStart"/>
      <w:r w:rsidRPr="00B62D91">
        <w:rPr>
          <w:rFonts w:ascii="Times New Roman" w:hAnsi="Times New Roman" w:cs="Times New Roman"/>
        </w:rPr>
        <w:t>Mayoritas</w:t>
      </w:r>
      <w:proofErr w:type="spellEnd"/>
      <w:r w:rsidRPr="00B62D91">
        <w:rPr>
          <w:rFonts w:ascii="Times New Roman" w:hAnsi="Times New Roman" w:cs="Times New Roman"/>
        </w:rPr>
        <w:t xml:space="preserve"> </w:t>
      </w:r>
      <w:proofErr w:type="spellStart"/>
      <w:r w:rsidRPr="00B62D91">
        <w:rPr>
          <w:rFonts w:ascii="Times New Roman" w:hAnsi="Times New Roman" w:cs="Times New Roman"/>
        </w:rPr>
        <w:t>pasien</w:t>
      </w:r>
      <w:proofErr w:type="spellEnd"/>
      <w:r w:rsidRPr="00B62D91">
        <w:rPr>
          <w:rFonts w:ascii="Times New Roman" w:hAnsi="Times New Roman" w:cs="Times New Roman"/>
        </w:rPr>
        <w:t xml:space="preserve"> </w:t>
      </w:r>
      <w:proofErr w:type="spellStart"/>
      <w:r w:rsidRPr="00B62D91">
        <w:rPr>
          <w:rFonts w:ascii="Times New Roman" w:hAnsi="Times New Roman" w:cs="Times New Roman"/>
        </w:rPr>
        <w:t>menunjukkan</w:t>
      </w:r>
      <w:proofErr w:type="spellEnd"/>
      <w:r w:rsidRPr="00B62D91">
        <w:rPr>
          <w:rFonts w:ascii="Times New Roman" w:hAnsi="Times New Roman" w:cs="Times New Roman"/>
        </w:rPr>
        <w:t xml:space="preserve"> </w:t>
      </w:r>
      <w:proofErr w:type="spellStart"/>
      <w:r w:rsidRPr="00B62D91">
        <w:rPr>
          <w:rFonts w:ascii="Times New Roman" w:hAnsi="Times New Roman" w:cs="Times New Roman"/>
        </w:rPr>
        <w:t>kualitas</w:t>
      </w:r>
      <w:proofErr w:type="spellEnd"/>
      <w:r w:rsidRPr="00B62D91">
        <w:rPr>
          <w:rFonts w:ascii="Times New Roman" w:hAnsi="Times New Roman" w:cs="Times New Roman"/>
        </w:rPr>
        <w:t xml:space="preserve"> </w:t>
      </w:r>
      <w:proofErr w:type="spellStart"/>
      <w:r w:rsidRPr="00B62D91">
        <w:rPr>
          <w:rFonts w:ascii="Times New Roman" w:hAnsi="Times New Roman" w:cs="Times New Roman"/>
        </w:rPr>
        <w:t>hidup</w:t>
      </w:r>
      <w:proofErr w:type="spellEnd"/>
      <w:r w:rsidRPr="00B62D91">
        <w:rPr>
          <w:rFonts w:ascii="Times New Roman" w:hAnsi="Times New Roman" w:cs="Times New Roman"/>
        </w:rPr>
        <w:t xml:space="preserve"> yang </w:t>
      </w:r>
      <w:proofErr w:type="spellStart"/>
      <w:r w:rsidRPr="00B62D91">
        <w:rPr>
          <w:rFonts w:ascii="Times New Roman" w:hAnsi="Times New Roman" w:cs="Times New Roman"/>
        </w:rPr>
        <w:t>baik</w:t>
      </w:r>
      <w:proofErr w:type="spellEnd"/>
      <w:r w:rsidRPr="00B62D91">
        <w:rPr>
          <w:rFonts w:ascii="Times New Roman" w:hAnsi="Times New Roman" w:cs="Times New Roman"/>
        </w:rPr>
        <w:t xml:space="preserve"> (91,7%). Hal </w:t>
      </w:r>
      <w:proofErr w:type="spellStart"/>
      <w:r w:rsidRPr="00B62D91">
        <w:rPr>
          <w:rFonts w:ascii="Times New Roman" w:hAnsi="Times New Roman" w:cs="Times New Roman"/>
        </w:rPr>
        <w:t>ini</w:t>
      </w:r>
      <w:proofErr w:type="spellEnd"/>
      <w:r w:rsidRPr="00B62D91">
        <w:rPr>
          <w:rFonts w:ascii="Times New Roman" w:hAnsi="Times New Roman" w:cs="Times New Roman"/>
        </w:rPr>
        <w:t xml:space="preserve"> </w:t>
      </w:r>
      <w:proofErr w:type="spellStart"/>
      <w:r w:rsidRPr="00B62D91">
        <w:rPr>
          <w:rFonts w:ascii="Times New Roman" w:hAnsi="Times New Roman" w:cs="Times New Roman"/>
        </w:rPr>
        <w:t>konsisten</w:t>
      </w:r>
      <w:proofErr w:type="spellEnd"/>
      <w:r w:rsidRPr="00B62D91">
        <w:rPr>
          <w:rFonts w:ascii="Times New Roman" w:hAnsi="Times New Roman" w:cs="Times New Roman"/>
        </w:rPr>
        <w:t xml:space="preserve"> </w:t>
      </w:r>
      <w:proofErr w:type="spellStart"/>
      <w:r w:rsidRPr="00B62D91">
        <w:rPr>
          <w:rFonts w:ascii="Times New Roman" w:hAnsi="Times New Roman" w:cs="Times New Roman"/>
        </w:rPr>
        <w:t>dengan</w:t>
      </w:r>
      <w:proofErr w:type="spellEnd"/>
      <w:r w:rsidRPr="00B62D91">
        <w:rPr>
          <w:rFonts w:ascii="Times New Roman" w:hAnsi="Times New Roman" w:cs="Times New Roman"/>
        </w:rPr>
        <w:t xml:space="preserve"> </w:t>
      </w:r>
      <w:proofErr w:type="spellStart"/>
      <w:r w:rsidRPr="00B62D91">
        <w:rPr>
          <w:rFonts w:ascii="Times New Roman" w:hAnsi="Times New Roman" w:cs="Times New Roman"/>
        </w:rPr>
        <w:t>penelitian</w:t>
      </w:r>
      <w:proofErr w:type="spellEnd"/>
      <w:r w:rsidRPr="00B62D91">
        <w:rPr>
          <w:rFonts w:ascii="Times New Roman" w:hAnsi="Times New Roman" w:cs="Times New Roman"/>
        </w:rPr>
        <w:t xml:space="preserve"> </w:t>
      </w:r>
      <w:proofErr w:type="spellStart"/>
      <w:r w:rsidRPr="00B62D91">
        <w:rPr>
          <w:rFonts w:ascii="Times New Roman" w:hAnsi="Times New Roman" w:cs="Times New Roman"/>
        </w:rPr>
        <w:t>terdahulu</w:t>
      </w:r>
      <w:proofErr w:type="spellEnd"/>
      <w:r w:rsidRPr="00B62D91">
        <w:rPr>
          <w:rFonts w:ascii="Times New Roman" w:hAnsi="Times New Roman" w:cs="Times New Roman"/>
        </w:rPr>
        <w:t xml:space="preserve"> yang </w:t>
      </w:r>
      <w:proofErr w:type="spellStart"/>
      <w:r w:rsidRPr="00B62D91">
        <w:rPr>
          <w:rFonts w:ascii="Times New Roman" w:hAnsi="Times New Roman" w:cs="Times New Roman"/>
        </w:rPr>
        <w:t>menekankan</w:t>
      </w:r>
      <w:proofErr w:type="spellEnd"/>
      <w:r w:rsidRPr="00B62D91">
        <w:rPr>
          <w:rFonts w:ascii="Times New Roman" w:hAnsi="Times New Roman" w:cs="Times New Roman"/>
        </w:rPr>
        <w:t xml:space="preserve"> </w:t>
      </w:r>
      <w:proofErr w:type="spellStart"/>
      <w:r w:rsidRPr="00B62D91">
        <w:rPr>
          <w:rFonts w:ascii="Times New Roman" w:hAnsi="Times New Roman" w:cs="Times New Roman"/>
        </w:rPr>
        <w:t>pentingnya</w:t>
      </w:r>
      <w:proofErr w:type="spellEnd"/>
      <w:r w:rsidRPr="00B62D91">
        <w:rPr>
          <w:rFonts w:ascii="Times New Roman" w:hAnsi="Times New Roman" w:cs="Times New Roman"/>
        </w:rPr>
        <w:t xml:space="preserve"> </w:t>
      </w:r>
      <w:proofErr w:type="spellStart"/>
      <w:r w:rsidRPr="00B62D91">
        <w:rPr>
          <w:rFonts w:ascii="Times New Roman" w:hAnsi="Times New Roman" w:cs="Times New Roman"/>
        </w:rPr>
        <w:t>aspek</w:t>
      </w:r>
      <w:proofErr w:type="spellEnd"/>
      <w:r w:rsidRPr="00B62D91">
        <w:rPr>
          <w:rFonts w:ascii="Times New Roman" w:hAnsi="Times New Roman" w:cs="Times New Roman"/>
        </w:rPr>
        <w:t xml:space="preserve"> </w:t>
      </w:r>
      <w:proofErr w:type="spellStart"/>
      <w:r w:rsidRPr="00B62D91">
        <w:rPr>
          <w:rFonts w:ascii="Times New Roman" w:hAnsi="Times New Roman" w:cs="Times New Roman"/>
        </w:rPr>
        <w:t>fisik</w:t>
      </w:r>
      <w:proofErr w:type="spellEnd"/>
      <w:r w:rsidRPr="00B62D91">
        <w:rPr>
          <w:rFonts w:ascii="Times New Roman" w:hAnsi="Times New Roman" w:cs="Times New Roman"/>
        </w:rPr>
        <w:t xml:space="preserve">, </w:t>
      </w:r>
      <w:proofErr w:type="spellStart"/>
      <w:r w:rsidRPr="00B62D91">
        <w:rPr>
          <w:rFonts w:ascii="Times New Roman" w:hAnsi="Times New Roman" w:cs="Times New Roman"/>
        </w:rPr>
        <w:t>psikologis</w:t>
      </w:r>
      <w:proofErr w:type="spellEnd"/>
      <w:r w:rsidRPr="00B62D91">
        <w:rPr>
          <w:rFonts w:ascii="Times New Roman" w:hAnsi="Times New Roman" w:cs="Times New Roman"/>
        </w:rPr>
        <w:t xml:space="preserve">, </w:t>
      </w:r>
      <w:proofErr w:type="spellStart"/>
      <w:r w:rsidRPr="00B62D91">
        <w:rPr>
          <w:rFonts w:ascii="Times New Roman" w:hAnsi="Times New Roman" w:cs="Times New Roman"/>
        </w:rPr>
        <w:t>kemandirian</w:t>
      </w:r>
      <w:proofErr w:type="spellEnd"/>
      <w:r w:rsidRPr="00B62D91">
        <w:rPr>
          <w:rFonts w:ascii="Times New Roman" w:hAnsi="Times New Roman" w:cs="Times New Roman"/>
        </w:rPr>
        <w:t xml:space="preserve">, </w:t>
      </w:r>
      <w:proofErr w:type="spellStart"/>
      <w:r w:rsidRPr="00B62D91">
        <w:rPr>
          <w:rFonts w:ascii="Times New Roman" w:hAnsi="Times New Roman" w:cs="Times New Roman"/>
        </w:rPr>
        <w:t>serta</w:t>
      </w:r>
      <w:proofErr w:type="spellEnd"/>
      <w:r w:rsidRPr="00B62D91">
        <w:rPr>
          <w:rFonts w:ascii="Times New Roman" w:hAnsi="Times New Roman" w:cs="Times New Roman"/>
        </w:rPr>
        <w:t xml:space="preserve"> </w:t>
      </w:r>
      <w:proofErr w:type="spellStart"/>
      <w:r w:rsidRPr="00B62D91">
        <w:rPr>
          <w:rFonts w:ascii="Times New Roman" w:hAnsi="Times New Roman" w:cs="Times New Roman"/>
        </w:rPr>
        <w:t>dukungan</w:t>
      </w:r>
      <w:proofErr w:type="spellEnd"/>
      <w:r w:rsidRPr="00B62D91">
        <w:rPr>
          <w:rFonts w:ascii="Times New Roman" w:hAnsi="Times New Roman" w:cs="Times New Roman"/>
        </w:rPr>
        <w:t xml:space="preserve"> </w:t>
      </w:r>
      <w:proofErr w:type="spellStart"/>
      <w:r w:rsidRPr="00B62D91">
        <w:rPr>
          <w:rFonts w:ascii="Times New Roman" w:hAnsi="Times New Roman" w:cs="Times New Roman"/>
        </w:rPr>
        <w:t>keluarga</w:t>
      </w:r>
      <w:proofErr w:type="spellEnd"/>
      <w:r w:rsidRPr="00B62D91">
        <w:rPr>
          <w:rFonts w:ascii="Times New Roman" w:hAnsi="Times New Roman" w:cs="Times New Roman"/>
        </w:rPr>
        <w:t xml:space="preserve"> dan </w:t>
      </w:r>
      <w:proofErr w:type="spellStart"/>
      <w:r w:rsidRPr="00B62D91">
        <w:rPr>
          <w:rFonts w:ascii="Times New Roman" w:hAnsi="Times New Roman" w:cs="Times New Roman"/>
        </w:rPr>
        <w:t>lingkungan</w:t>
      </w:r>
      <w:proofErr w:type="spellEnd"/>
      <w:r w:rsidRPr="00B62D91">
        <w:rPr>
          <w:rFonts w:ascii="Times New Roman" w:hAnsi="Times New Roman" w:cs="Times New Roman"/>
        </w:rPr>
        <w:t xml:space="preserve"> </w:t>
      </w:r>
      <w:proofErr w:type="spellStart"/>
      <w:r w:rsidRPr="00B62D91">
        <w:rPr>
          <w:rFonts w:ascii="Times New Roman" w:hAnsi="Times New Roman" w:cs="Times New Roman"/>
        </w:rPr>
        <w:t>dalam</w:t>
      </w:r>
      <w:proofErr w:type="spellEnd"/>
      <w:r w:rsidRPr="00B62D91">
        <w:rPr>
          <w:rFonts w:ascii="Times New Roman" w:hAnsi="Times New Roman" w:cs="Times New Roman"/>
        </w:rPr>
        <w:t xml:space="preserve"> </w:t>
      </w:r>
      <w:proofErr w:type="spellStart"/>
      <w:r w:rsidRPr="00B62D91">
        <w:rPr>
          <w:rFonts w:ascii="Times New Roman" w:hAnsi="Times New Roman" w:cs="Times New Roman"/>
        </w:rPr>
        <w:t>menentukan</w:t>
      </w:r>
      <w:proofErr w:type="spellEnd"/>
      <w:r w:rsidRPr="00B62D91">
        <w:rPr>
          <w:rFonts w:ascii="Times New Roman" w:hAnsi="Times New Roman" w:cs="Times New Roman"/>
        </w:rPr>
        <w:t xml:space="preserve"> </w:t>
      </w:r>
      <w:proofErr w:type="spellStart"/>
      <w:r w:rsidRPr="00B62D91">
        <w:rPr>
          <w:rFonts w:ascii="Times New Roman" w:hAnsi="Times New Roman" w:cs="Times New Roman"/>
        </w:rPr>
        <w:t>kualitas</w:t>
      </w:r>
      <w:proofErr w:type="spellEnd"/>
      <w:r w:rsidRPr="00B62D91">
        <w:rPr>
          <w:rFonts w:ascii="Times New Roman" w:hAnsi="Times New Roman" w:cs="Times New Roman"/>
        </w:rPr>
        <w:t xml:space="preserve"> </w:t>
      </w:r>
      <w:proofErr w:type="spellStart"/>
      <w:r w:rsidRPr="00B62D91">
        <w:rPr>
          <w:rFonts w:ascii="Times New Roman" w:hAnsi="Times New Roman" w:cs="Times New Roman"/>
        </w:rPr>
        <w:t>hidup</w:t>
      </w:r>
      <w:proofErr w:type="spellEnd"/>
      <w:r w:rsidRPr="00B62D91">
        <w:rPr>
          <w:rFonts w:ascii="Times New Roman" w:hAnsi="Times New Roman" w:cs="Times New Roman"/>
        </w:rPr>
        <w:t xml:space="preserve"> (</w:t>
      </w:r>
      <w:proofErr w:type="spellStart"/>
      <w:r w:rsidRPr="00B62D91">
        <w:rPr>
          <w:rFonts w:ascii="Times New Roman" w:hAnsi="Times New Roman" w:cs="Times New Roman"/>
        </w:rPr>
        <w:t>Ekasari</w:t>
      </w:r>
      <w:proofErr w:type="spellEnd"/>
      <w:r w:rsidRPr="00B62D91">
        <w:rPr>
          <w:rFonts w:ascii="Times New Roman" w:hAnsi="Times New Roman" w:cs="Times New Roman"/>
        </w:rPr>
        <w:t xml:space="preserve"> et al., 2019; </w:t>
      </w:r>
      <w:proofErr w:type="spellStart"/>
      <w:r w:rsidRPr="00B62D91">
        <w:rPr>
          <w:rFonts w:ascii="Times New Roman" w:hAnsi="Times New Roman" w:cs="Times New Roman"/>
        </w:rPr>
        <w:t>Febriyantara</w:t>
      </w:r>
      <w:proofErr w:type="spellEnd"/>
      <w:r w:rsidRPr="00B62D91">
        <w:rPr>
          <w:rFonts w:ascii="Times New Roman" w:hAnsi="Times New Roman" w:cs="Times New Roman"/>
        </w:rPr>
        <w:t>, 2016).</w:t>
      </w:r>
    </w:p>
    <w:p w14:paraId="323B7778" w14:textId="1615FBB1" w:rsidR="00860849" w:rsidRDefault="00860849" w:rsidP="002329DC">
      <w:pPr>
        <w:pStyle w:val="BodyText"/>
        <w:numPr>
          <w:ilvl w:val="0"/>
          <w:numId w:val="6"/>
        </w:numPr>
        <w:spacing w:line="360" w:lineRule="auto"/>
        <w:jc w:val="both"/>
      </w:pPr>
      <w:r>
        <w:t>Analisa bivariat</w:t>
      </w:r>
    </w:p>
    <w:p w14:paraId="1F676797" w14:textId="77777777" w:rsidR="00B62D91" w:rsidRPr="004D44D2" w:rsidRDefault="00B62D91" w:rsidP="004D44D2">
      <w:pPr>
        <w:pStyle w:val="ListParagraph"/>
        <w:spacing w:line="360" w:lineRule="auto"/>
        <w:ind w:left="1560"/>
        <w:jc w:val="both"/>
        <w:rPr>
          <w:rFonts w:ascii="Times New Roman" w:hAnsi="Times New Roman" w:cs="Times New Roman"/>
        </w:rPr>
      </w:pPr>
      <w:proofErr w:type="spellStart"/>
      <w:r w:rsidRPr="004D44D2">
        <w:rPr>
          <w:rFonts w:ascii="Times New Roman" w:hAnsi="Times New Roman" w:cs="Times New Roman"/>
        </w:rPr>
        <w:t>memperlihatkan</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adanya</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hubungan</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sangat</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signifikan</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Seluruh</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pasien</w:t>
      </w:r>
      <w:proofErr w:type="spellEnd"/>
      <w:r w:rsidRPr="004D44D2">
        <w:rPr>
          <w:rFonts w:ascii="Times New Roman" w:hAnsi="Times New Roman" w:cs="Times New Roman"/>
        </w:rPr>
        <w:t xml:space="preserve"> yang </w:t>
      </w:r>
      <w:proofErr w:type="spellStart"/>
      <w:r w:rsidRPr="004D44D2">
        <w:rPr>
          <w:rFonts w:ascii="Times New Roman" w:hAnsi="Times New Roman" w:cs="Times New Roman"/>
        </w:rPr>
        <w:t>patuh</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memiliki</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kualitas</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hidup</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lebih</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baik</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dibandingkan</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mereka</w:t>
      </w:r>
      <w:proofErr w:type="spellEnd"/>
      <w:r w:rsidRPr="004D44D2">
        <w:rPr>
          <w:rFonts w:ascii="Times New Roman" w:hAnsi="Times New Roman" w:cs="Times New Roman"/>
        </w:rPr>
        <w:t xml:space="preserve"> yang </w:t>
      </w:r>
      <w:proofErr w:type="spellStart"/>
      <w:r w:rsidRPr="004D44D2">
        <w:rPr>
          <w:rFonts w:ascii="Times New Roman" w:hAnsi="Times New Roman" w:cs="Times New Roman"/>
        </w:rPr>
        <w:t>tidak</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patuh</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Temuan</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ini</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sejalan</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dengan</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penelitian</w:t>
      </w:r>
      <w:proofErr w:type="spellEnd"/>
      <w:r w:rsidRPr="004D44D2">
        <w:rPr>
          <w:rFonts w:ascii="Times New Roman" w:hAnsi="Times New Roman" w:cs="Times New Roman"/>
        </w:rPr>
        <w:t xml:space="preserve"> Putra (2025) dan Nisa (2021). </w:t>
      </w:r>
      <w:proofErr w:type="spellStart"/>
      <w:r w:rsidRPr="004D44D2">
        <w:rPr>
          <w:rFonts w:ascii="Times New Roman" w:hAnsi="Times New Roman" w:cs="Times New Roman"/>
        </w:rPr>
        <w:t>Kepatuhan</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memungkinkan</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pasien</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mengontrol</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gejala</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mengurangi</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komplikasi</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serta</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mempertahankan</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fungsi</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fisik</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maupun</w:t>
      </w:r>
      <w:proofErr w:type="spellEnd"/>
      <w:r w:rsidRPr="004D44D2">
        <w:rPr>
          <w:rFonts w:ascii="Times New Roman" w:hAnsi="Times New Roman" w:cs="Times New Roman"/>
        </w:rPr>
        <w:t xml:space="preserve"> </w:t>
      </w:r>
      <w:proofErr w:type="spellStart"/>
      <w:r w:rsidRPr="004D44D2">
        <w:rPr>
          <w:rFonts w:ascii="Times New Roman" w:hAnsi="Times New Roman" w:cs="Times New Roman"/>
        </w:rPr>
        <w:t>sosial</w:t>
      </w:r>
      <w:proofErr w:type="spellEnd"/>
      <w:r w:rsidRPr="004D44D2">
        <w:rPr>
          <w:rFonts w:ascii="Times New Roman" w:hAnsi="Times New Roman" w:cs="Times New Roman"/>
        </w:rPr>
        <w:t>.</w:t>
      </w:r>
    </w:p>
    <w:p w14:paraId="3BCBBA3C" w14:textId="77777777" w:rsidR="00432072" w:rsidRDefault="00432072" w:rsidP="002329DC">
      <w:pPr>
        <w:pStyle w:val="BodyText"/>
        <w:spacing w:line="360" w:lineRule="auto"/>
        <w:ind w:left="1530"/>
        <w:jc w:val="both"/>
        <w:rPr>
          <w:b/>
          <w:bCs/>
        </w:rPr>
      </w:pPr>
    </w:p>
    <w:p w14:paraId="58A5836A" w14:textId="3FDA05C4" w:rsidR="004150FE" w:rsidRDefault="004150FE" w:rsidP="00860849">
      <w:pPr>
        <w:pStyle w:val="BodyText"/>
        <w:spacing w:line="360" w:lineRule="auto"/>
        <w:ind w:left="1530"/>
        <w:jc w:val="both"/>
        <w:rPr>
          <w:b/>
          <w:bCs/>
        </w:rPr>
      </w:pPr>
      <w:r>
        <w:rPr>
          <w:b/>
          <w:bCs/>
        </w:rPr>
        <w:t>KESIMPULAN</w:t>
      </w:r>
    </w:p>
    <w:p w14:paraId="5CBCBDAC" w14:textId="77777777" w:rsidR="00B62D91" w:rsidRPr="00B62D91" w:rsidRDefault="00B62D91" w:rsidP="00B62D91">
      <w:pPr>
        <w:pStyle w:val="BodyText"/>
        <w:spacing w:line="360" w:lineRule="auto"/>
        <w:ind w:left="1890"/>
        <w:jc w:val="both"/>
        <w:rPr>
          <w:lang w:val="en-US"/>
        </w:rPr>
      </w:pPr>
      <w:r w:rsidRPr="00B62D91">
        <w:rPr>
          <w:lang w:val="en-US"/>
        </w:rPr>
        <w:t xml:space="preserve">Hasil </w:t>
      </w:r>
      <w:proofErr w:type="spellStart"/>
      <w:r w:rsidRPr="00B62D91">
        <w:rPr>
          <w:lang w:val="en-US"/>
        </w:rPr>
        <w:t>penelitian</w:t>
      </w:r>
      <w:proofErr w:type="spellEnd"/>
      <w:r w:rsidRPr="00B62D91">
        <w:rPr>
          <w:lang w:val="en-US"/>
        </w:rPr>
        <w:t xml:space="preserve"> </w:t>
      </w:r>
      <w:proofErr w:type="spellStart"/>
      <w:r w:rsidRPr="00B62D91">
        <w:rPr>
          <w:lang w:val="en-US"/>
        </w:rPr>
        <w:t>menunjukkan</w:t>
      </w:r>
      <w:proofErr w:type="spellEnd"/>
      <w:r w:rsidRPr="00B62D91">
        <w:rPr>
          <w:lang w:val="en-US"/>
        </w:rPr>
        <w:t xml:space="preserve"> </w:t>
      </w:r>
      <w:proofErr w:type="spellStart"/>
      <w:r w:rsidRPr="00B62D91">
        <w:rPr>
          <w:lang w:val="en-US"/>
        </w:rPr>
        <w:t>bahwa</w:t>
      </w:r>
      <w:proofErr w:type="spellEnd"/>
      <w:r w:rsidRPr="00B62D91">
        <w:rPr>
          <w:lang w:val="en-US"/>
        </w:rPr>
        <w:t xml:space="preserve"> </w:t>
      </w:r>
      <w:proofErr w:type="spellStart"/>
      <w:r w:rsidRPr="00B62D91">
        <w:rPr>
          <w:lang w:val="en-US"/>
        </w:rPr>
        <w:t>sebagian</w:t>
      </w:r>
      <w:proofErr w:type="spellEnd"/>
      <w:r w:rsidRPr="00B62D91">
        <w:rPr>
          <w:lang w:val="en-US"/>
        </w:rPr>
        <w:t xml:space="preserve"> </w:t>
      </w:r>
      <w:proofErr w:type="spellStart"/>
      <w:r w:rsidRPr="00B62D91">
        <w:rPr>
          <w:lang w:val="en-US"/>
        </w:rPr>
        <w:t>besar</w:t>
      </w:r>
      <w:proofErr w:type="spellEnd"/>
      <w:r w:rsidRPr="00B62D91">
        <w:rPr>
          <w:lang w:val="en-US"/>
        </w:rPr>
        <w:t xml:space="preserve"> </w:t>
      </w:r>
      <w:proofErr w:type="spellStart"/>
      <w:r w:rsidRPr="00B62D91">
        <w:rPr>
          <w:lang w:val="en-US"/>
        </w:rPr>
        <w:t>pasien</w:t>
      </w:r>
      <w:proofErr w:type="spellEnd"/>
      <w:r w:rsidRPr="00B62D91">
        <w:rPr>
          <w:lang w:val="en-US"/>
        </w:rPr>
        <w:t xml:space="preserve"> </w:t>
      </w:r>
      <w:proofErr w:type="spellStart"/>
      <w:r w:rsidRPr="00B62D91">
        <w:rPr>
          <w:lang w:val="en-US"/>
        </w:rPr>
        <w:t>gagal</w:t>
      </w:r>
      <w:proofErr w:type="spellEnd"/>
      <w:r w:rsidRPr="00B62D91">
        <w:rPr>
          <w:lang w:val="en-US"/>
        </w:rPr>
        <w:t xml:space="preserve"> </w:t>
      </w:r>
      <w:proofErr w:type="spellStart"/>
      <w:r w:rsidRPr="00B62D91">
        <w:rPr>
          <w:lang w:val="en-US"/>
        </w:rPr>
        <w:t>ginjal</w:t>
      </w:r>
      <w:proofErr w:type="spellEnd"/>
      <w:r w:rsidRPr="00B62D91">
        <w:rPr>
          <w:lang w:val="en-US"/>
        </w:rPr>
        <w:t xml:space="preserve"> </w:t>
      </w:r>
      <w:proofErr w:type="spellStart"/>
      <w:r w:rsidRPr="00B62D91">
        <w:rPr>
          <w:lang w:val="en-US"/>
        </w:rPr>
        <w:t>kronik</w:t>
      </w:r>
      <w:proofErr w:type="spellEnd"/>
      <w:r w:rsidRPr="00B62D91">
        <w:rPr>
          <w:lang w:val="en-US"/>
        </w:rPr>
        <w:t xml:space="preserve"> di RS </w:t>
      </w:r>
      <w:proofErr w:type="spellStart"/>
      <w:r w:rsidRPr="00B62D91">
        <w:rPr>
          <w:lang w:val="en-US"/>
        </w:rPr>
        <w:t>Bhina</w:t>
      </w:r>
      <w:proofErr w:type="spellEnd"/>
      <w:r w:rsidRPr="00B62D91">
        <w:rPr>
          <w:lang w:val="en-US"/>
        </w:rPr>
        <w:t xml:space="preserve"> Bhakti </w:t>
      </w:r>
      <w:proofErr w:type="spellStart"/>
      <w:r w:rsidRPr="00B62D91">
        <w:rPr>
          <w:lang w:val="en-US"/>
        </w:rPr>
        <w:t>Husada</w:t>
      </w:r>
      <w:proofErr w:type="spellEnd"/>
      <w:r w:rsidRPr="00B62D91">
        <w:rPr>
          <w:lang w:val="en-US"/>
        </w:rPr>
        <w:t xml:space="preserve"> </w:t>
      </w:r>
      <w:proofErr w:type="spellStart"/>
      <w:r w:rsidRPr="00B62D91">
        <w:rPr>
          <w:lang w:val="en-US"/>
        </w:rPr>
        <w:t>Rembang</w:t>
      </w:r>
      <w:proofErr w:type="spellEnd"/>
      <w:r w:rsidRPr="00B62D91">
        <w:rPr>
          <w:lang w:val="en-US"/>
        </w:rPr>
        <w:t xml:space="preserve"> </w:t>
      </w:r>
      <w:proofErr w:type="spellStart"/>
      <w:r w:rsidRPr="00B62D91">
        <w:rPr>
          <w:lang w:val="en-US"/>
        </w:rPr>
        <w:t>memiliki</w:t>
      </w:r>
      <w:proofErr w:type="spellEnd"/>
      <w:r w:rsidRPr="00B62D91">
        <w:rPr>
          <w:lang w:val="en-US"/>
        </w:rPr>
        <w:t xml:space="preserve"> </w:t>
      </w:r>
      <w:proofErr w:type="spellStart"/>
      <w:r w:rsidRPr="00B62D91">
        <w:rPr>
          <w:lang w:val="en-US"/>
        </w:rPr>
        <w:t>tingkat</w:t>
      </w:r>
      <w:proofErr w:type="spellEnd"/>
      <w:r w:rsidRPr="00B62D91">
        <w:rPr>
          <w:lang w:val="en-US"/>
        </w:rPr>
        <w:t xml:space="preserve"> </w:t>
      </w:r>
      <w:proofErr w:type="spellStart"/>
      <w:r w:rsidRPr="00B62D91">
        <w:rPr>
          <w:lang w:val="en-US"/>
        </w:rPr>
        <w:t>kepatuhan</w:t>
      </w:r>
      <w:proofErr w:type="spellEnd"/>
      <w:r w:rsidRPr="00B62D91">
        <w:rPr>
          <w:lang w:val="en-US"/>
        </w:rPr>
        <w:t xml:space="preserve"> </w:t>
      </w:r>
      <w:proofErr w:type="spellStart"/>
      <w:r w:rsidRPr="00B62D91">
        <w:rPr>
          <w:lang w:val="en-US"/>
        </w:rPr>
        <w:t>tinggi</w:t>
      </w:r>
      <w:proofErr w:type="spellEnd"/>
      <w:r w:rsidRPr="00B62D91">
        <w:rPr>
          <w:lang w:val="en-US"/>
        </w:rPr>
        <w:t xml:space="preserve"> </w:t>
      </w:r>
      <w:proofErr w:type="spellStart"/>
      <w:r w:rsidRPr="00B62D91">
        <w:rPr>
          <w:lang w:val="en-US"/>
        </w:rPr>
        <w:t>terhadap</w:t>
      </w:r>
      <w:proofErr w:type="spellEnd"/>
      <w:r w:rsidRPr="00B62D91">
        <w:rPr>
          <w:lang w:val="en-US"/>
        </w:rPr>
        <w:t xml:space="preserve"> </w:t>
      </w:r>
      <w:proofErr w:type="spellStart"/>
      <w:r w:rsidRPr="00B62D91">
        <w:rPr>
          <w:lang w:val="en-US"/>
        </w:rPr>
        <w:t>terapi</w:t>
      </w:r>
      <w:proofErr w:type="spellEnd"/>
      <w:r w:rsidRPr="00B62D91">
        <w:rPr>
          <w:lang w:val="en-US"/>
        </w:rPr>
        <w:t xml:space="preserve"> </w:t>
      </w:r>
      <w:proofErr w:type="spellStart"/>
      <w:r w:rsidRPr="00B62D91">
        <w:rPr>
          <w:lang w:val="en-US"/>
        </w:rPr>
        <w:t>hemodialisis</w:t>
      </w:r>
      <w:proofErr w:type="spellEnd"/>
      <w:r w:rsidRPr="00B62D91">
        <w:rPr>
          <w:lang w:val="en-US"/>
        </w:rPr>
        <w:t xml:space="preserve"> (91,7%) dan </w:t>
      </w:r>
      <w:proofErr w:type="spellStart"/>
      <w:r w:rsidRPr="00B62D91">
        <w:rPr>
          <w:lang w:val="en-US"/>
        </w:rPr>
        <w:t>sebagian</w:t>
      </w:r>
      <w:proofErr w:type="spellEnd"/>
      <w:r w:rsidRPr="00B62D91">
        <w:rPr>
          <w:lang w:val="en-US"/>
        </w:rPr>
        <w:t xml:space="preserve"> </w:t>
      </w:r>
      <w:proofErr w:type="spellStart"/>
      <w:r w:rsidRPr="00B62D91">
        <w:rPr>
          <w:lang w:val="en-US"/>
        </w:rPr>
        <w:t>besar</w:t>
      </w:r>
      <w:proofErr w:type="spellEnd"/>
      <w:r w:rsidRPr="00B62D91">
        <w:rPr>
          <w:lang w:val="en-US"/>
        </w:rPr>
        <w:t xml:space="preserve"> juga </w:t>
      </w:r>
      <w:proofErr w:type="spellStart"/>
      <w:r w:rsidRPr="00B62D91">
        <w:rPr>
          <w:lang w:val="en-US"/>
        </w:rPr>
        <w:t>melaporkan</w:t>
      </w:r>
      <w:proofErr w:type="spellEnd"/>
      <w:r w:rsidRPr="00B62D91">
        <w:rPr>
          <w:lang w:val="en-US"/>
        </w:rPr>
        <w:t xml:space="preserve"> </w:t>
      </w:r>
      <w:proofErr w:type="spellStart"/>
      <w:r w:rsidRPr="00B62D91">
        <w:rPr>
          <w:lang w:val="en-US"/>
        </w:rPr>
        <w:t>kualitas</w:t>
      </w:r>
      <w:proofErr w:type="spellEnd"/>
      <w:r w:rsidRPr="00B62D91">
        <w:rPr>
          <w:lang w:val="en-US"/>
        </w:rPr>
        <w:t xml:space="preserve"> </w:t>
      </w:r>
      <w:proofErr w:type="spellStart"/>
      <w:r w:rsidRPr="00B62D91">
        <w:rPr>
          <w:lang w:val="en-US"/>
        </w:rPr>
        <w:t>hidup</w:t>
      </w:r>
      <w:proofErr w:type="spellEnd"/>
      <w:r w:rsidRPr="00B62D91">
        <w:rPr>
          <w:lang w:val="en-US"/>
        </w:rPr>
        <w:t xml:space="preserve"> yang </w:t>
      </w:r>
      <w:proofErr w:type="spellStart"/>
      <w:r w:rsidRPr="00B62D91">
        <w:rPr>
          <w:lang w:val="en-US"/>
        </w:rPr>
        <w:t>baik</w:t>
      </w:r>
      <w:proofErr w:type="spellEnd"/>
      <w:r w:rsidRPr="00B62D91">
        <w:rPr>
          <w:lang w:val="en-US"/>
        </w:rPr>
        <w:t xml:space="preserve"> (91,7%). </w:t>
      </w:r>
      <w:proofErr w:type="spellStart"/>
      <w:r w:rsidRPr="00B62D91">
        <w:rPr>
          <w:lang w:val="en-US"/>
        </w:rPr>
        <w:t>Analisis</w:t>
      </w:r>
      <w:proofErr w:type="spellEnd"/>
      <w:r w:rsidRPr="00B62D91">
        <w:rPr>
          <w:lang w:val="en-US"/>
        </w:rPr>
        <w:t xml:space="preserve"> </w:t>
      </w:r>
      <w:proofErr w:type="spellStart"/>
      <w:r w:rsidRPr="00B62D91">
        <w:rPr>
          <w:lang w:val="en-US"/>
        </w:rPr>
        <w:t>statistik</w:t>
      </w:r>
      <w:proofErr w:type="spellEnd"/>
      <w:r w:rsidRPr="00B62D91">
        <w:rPr>
          <w:lang w:val="en-US"/>
        </w:rPr>
        <w:t xml:space="preserve"> </w:t>
      </w:r>
      <w:proofErr w:type="spellStart"/>
      <w:r w:rsidRPr="00B62D91">
        <w:rPr>
          <w:lang w:val="en-US"/>
        </w:rPr>
        <w:t>memperlihatkan</w:t>
      </w:r>
      <w:proofErr w:type="spellEnd"/>
      <w:r w:rsidRPr="00B62D91">
        <w:rPr>
          <w:lang w:val="en-US"/>
        </w:rPr>
        <w:t xml:space="preserve"> </w:t>
      </w:r>
      <w:proofErr w:type="spellStart"/>
      <w:r w:rsidRPr="00B62D91">
        <w:rPr>
          <w:lang w:val="en-US"/>
        </w:rPr>
        <w:t>adanya</w:t>
      </w:r>
      <w:proofErr w:type="spellEnd"/>
      <w:r w:rsidRPr="00B62D91">
        <w:rPr>
          <w:lang w:val="en-US"/>
        </w:rPr>
        <w:t xml:space="preserve"> </w:t>
      </w:r>
      <w:proofErr w:type="spellStart"/>
      <w:r w:rsidRPr="00B62D91">
        <w:rPr>
          <w:lang w:val="en-US"/>
        </w:rPr>
        <w:t>hubungan</w:t>
      </w:r>
      <w:proofErr w:type="spellEnd"/>
      <w:r w:rsidRPr="00B62D91">
        <w:rPr>
          <w:lang w:val="en-US"/>
        </w:rPr>
        <w:t xml:space="preserve"> yang </w:t>
      </w:r>
      <w:proofErr w:type="spellStart"/>
      <w:r w:rsidRPr="00B62D91">
        <w:rPr>
          <w:lang w:val="en-US"/>
        </w:rPr>
        <w:t>sangat</w:t>
      </w:r>
      <w:proofErr w:type="spellEnd"/>
      <w:r w:rsidRPr="00B62D91">
        <w:rPr>
          <w:lang w:val="en-US"/>
        </w:rPr>
        <w:t xml:space="preserve"> </w:t>
      </w:r>
      <w:proofErr w:type="spellStart"/>
      <w:r w:rsidRPr="00B62D91">
        <w:rPr>
          <w:lang w:val="en-US"/>
        </w:rPr>
        <w:t>signifikan</w:t>
      </w:r>
      <w:proofErr w:type="spellEnd"/>
      <w:r w:rsidRPr="00B62D91">
        <w:rPr>
          <w:lang w:val="en-US"/>
        </w:rPr>
        <w:t xml:space="preserve"> </w:t>
      </w:r>
      <w:proofErr w:type="spellStart"/>
      <w:r w:rsidRPr="00B62D91">
        <w:rPr>
          <w:lang w:val="en-US"/>
        </w:rPr>
        <w:t>antara</w:t>
      </w:r>
      <w:proofErr w:type="spellEnd"/>
      <w:r w:rsidRPr="00B62D91">
        <w:rPr>
          <w:lang w:val="en-US"/>
        </w:rPr>
        <w:t xml:space="preserve"> </w:t>
      </w:r>
      <w:proofErr w:type="spellStart"/>
      <w:r w:rsidRPr="00B62D91">
        <w:rPr>
          <w:lang w:val="en-US"/>
        </w:rPr>
        <w:t>kepatuhan</w:t>
      </w:r>
      <w:proofErr w:type="spellEnd"/>
      <w:r w:rsidRPr="00B62D91">
        <w:rPr>
          <w:lang w:val="en-US"/>
        </w:rPr>
        <w:t xml:space="preserve"> </w:t>
      </w:r>
      <w:proofErr w:type="spellStart"/>
      <w:r w:rsidRPr="00B62D91">
        <w:rPr>
          <w:lang w:val="en-US"/>
        </w:rPr>
        <w:t>menjalani</w:t>
      </w:r>
      <w:proofErr w:type="spellEnd"/>
      <w:r w:rsidRPr="00B62D91">
        <w:rPr>
          <w:lang w:val="en-US"/>
        </w:rPr>
        <w:t xml:space="preserve"> </w:t>
      </w:r>
      <w:proofErr w:type="spellStart"/>
      <w:r w:rsidRPr="00B62D91">
        <w:rPr>
          <w:lang w:val="en-US"/>
        </w:rPr>
        <w:t>hemodialisis</w:t>
      </w:r>
      <w:proofErr w:type="spellEnd"/>
      <w:r w:rsidRPr="00B62D91">
        <w:rPr>
          <w:lang w:val="en-US"/>
        </w:rPr>
        <w:t xml:space="preserve"> dan </w:t>
      </w:r>
      <w:proofErr w:type="spellStart"/>
      <w:r w:rsidRPr="00B62D91">
        <w:rPr>
          <w:lang w:val="en-US"/>
        </w:rPr>
        <w:t>kualitas</w:t>
      </w:r>
      <w:proofErr w:type="spellEnd"/>
      <w:r w:rsidRPr="00B62D91">
        <w:rPr>
          <w:lang w:val="en-US"/>
        </w:rPr>
        <w:t xml:space="preserve"> </w:t>
      </w:r>
      <w:proofErr w:type="spellStart"/>
      <w:r w:rsidRPr="00B62D91">
        <w:rPr>
          <w:lang w:val="en-US"/>
        </w:rPr>
        <w:t>hidup</w:t>
      </w:r>
      <w:proofErr w:type="spellEnd"/>
      <w:r w:rsidRPr="00B62D91">
        <w:rPr>
          <w:lang w:val="en-US"/>
        </w:rPr>
        <w:t xml:space="preserve"> </w:t>
      </w:r>
      <w:proofErr w:type="spellStart"/>
      <w:r w:rsidRPr="00B62D91">
        <w:rPr>
          <w:lang w:val="en-US"/>
        </w:rPr>
        <w:t>pasien</w:t>
      </w:r>
      <w:proofErr w:type="spellEnd"/>
      <w:r w:rsidRPr="00B62D91">
        <w:rPr>
          <w:lang w:val="en-US"/>
        </w:rPr>
        <w:t xml:space="preserve"> (p &lt; 0,001).</w:t>
      </w:r>
    </w:p>
    <w:p w14:paraId="4FC5698B" w14:textId="706BDEE4" w:rsidR="00B62D91" w:rsidRPr="00B62D91" w:rsidRDefault="00B62D91" w:rsidP="00B62D91">
      <w:pPr>
        <w:pStyle w:val="BodyText"/>
        <w:spacing w:line="360" w:lineRule="auto"/>
        <w:ind w:left="1890"/>
        <w:jc w:val="both"/>
        <w:rPr>
          <w:lang w:val="en-US"/>
        </w:rPr>
      </w:pPr>
      <w:r w:rsidRPr="00B62D91">
        <w:rPr>
          <w:lang w:val="en-US"/>
        </w:rPr>
        <w:t xml:space="preserve"> </w:t>
      </w:r>
      <w:proofErr w:type="spellStart"/>
      <w:r w:rsidRPr="00B62D91">
        <w:rPr>
          <w:lang w:val="en-US"/>
        </w:rPr>
        <w:t>Temuan</w:t>
      </w:r>
      <w:proofErr w:type="spellEnd"/>
      <w:r w:rsidRPr="00B62D91">
        <w:rPr>
          <w:lang w:val="en-US"/>
        </w:rPr>
        <w:t xml:space="preserve"> </w:t>
      </w:r>
      <w:proofErr w:type="spellStart"/>
      <w:r w:rsidRPr="00B62D91">
        <w:rPr>
          <w:lang w:val="en-US"/>
        </w:rPr>
        <w:t>ini</w:t>
      </w:r>
      <w:proofErr w:type="spellEnd"/>
      <w:r w:rsidRPr="00B62D91">
        <w:rPr>
          <w:lang w:val="en-US"/>
        </w:rPr>
        <w:t xml:space="preserve"> </w:t>
      </w:r>
      <w:proofErr w:type="spellStart"/>
      <w:r w:rsidRPr="00B62D91">
        <w:rPr>
          <w:lang w:val="en-US"/>
        </w:rPr>
        <w:t>menegaskan</w:t>
      </w:r>
      <w:proofErr w:type="spellEnd"/>
      <w:r w:rsidRPr="00B62D91">
        <w:rPr>
          <w:lang w:val="en-US"/>
        </w:rPr>
        <w:t xml:space="preserve"> </w:t>
      </w:r>
      <w:proofErr w:type="spellStart"/>
      <w:r w:rsidRPr="00B62D91">
        <w:rPr>
          <w:lang w:val="en-US"/>
        </w:rPr>
        <w:t>bahwa</w:t>
      </w:r>
      <w:proofErr w:type="spellEnd"/>
      <w:r w:rsidRPr="00B62D91">
        <w:rPr>
          <w:lang w:val="en-US"/>
        </w:rPr>
        <w:t xml:space="preserve"> </w:t>
      </w:r>
      <w:proofErr w:type="spellStart"/>
      <w:r w:rsidRPr="00B62D91">
        <w:rPr>
          <w:lang w:val="en-US"/>
        </w:rPr>
        <w:t>kepatuhan</w:t>
      </w:r>
      <w:proofErr w:type="spellEnd"/>
      <w:r w:rsidRPr="00B62D91">
        <w:rPr>
          <w:lang w:val="en-US"/>
        </w:rPr>
        <w:t xml:space="preserve"> </w:t>
      </w:r>
      <w:proofErr w:type="spellStart"/>
      <w:r w:rsidRPr="00B62D91">
        <w:rPr>
          <w:lang w:val="en-US"/>
        </w:rPr>
        <w:t>terhadap</w:t>
      </w:r>
      <w:proofErr w:type="spellEnd"/>
      <w:r w:rsidRPr="00B62D91">
        <w:rPr>
          <w:lang w:val="en-US"/>
        </w:rPr>
        <w:t xml:space="preserve"> </w:t>
      </w:r>
      <w:proofErr w:type="spellStart"/>
      <w:r w:rsidRPr="00B62D91">
        <w:rPr>
          <w:lang w:val="en-US"/>
        </w:rPr>
        <w:t>jadwal</w:t>
      </w:r>
      <w:proofErr w:type="spellEnd"/>
      <w:r w:rsidRPr="00B62D91">
        <w:rPr>
          <w:lang w:val="en-US"/>
        </w:rPr>
        <w:t xml:space="preserve"> dan </w:t>
      </w:r>
      <w:proofErr w:type="spellStart"/>
      <w:r w:rsidRPr="00B62D91">
        <w:rPr>
          <w:lang w:val="en-US"/>
        </w:rPr>
        <w:t>prosedur</w:t>
      </w:r>
      <w:proofErr w:type="spellEnd"/>
      <w:r w:rsidRPr="00B62D91">
        <w:rPr>
          <w:lang w:val="en-US"/>
        </w:rPr>
        <w:t xml:space="preserve"> </w:t>
      </w:r>
      <w:proofErr w:type="spellStart"/>
      <w:r w:rsidRPr="00B62D91">
        <w:rPr>
          <w:lang w:val="en-US"/>
        </w:rPr>
        <w:t>hemodialisis</w:t>
      </w:r>
      <w:proofErr w:type="spellEnd"/>
      <w:r w:rsidRPr="00B62D91">
        <w:rPr>
          <w:lang w:val="en-US"/>
        </w:rPr>
        <w:t xml:space="preserve"> </w:t>
      </w:r>
      <w:proofErr w:type="spellStart"/>
      <w:r w:rsidRPr="00B62D91">
        <w:rPr>
          <w:lang w:val="en-US"/>
        </w:rPr>
        <w:t>berperan</w:t>
      </w:r>
      <w:proofErr w:type="spellEnd"/>
      <w:r w:rsidRPr="00B62D91">
        <w:rPr>
          <w:lang w:val="en-US"/>
        </w:rPr>
        <w:t xml:space="preserve"> </w:t>
      </w:r>
      <w:proofErr w:type="spellStart"/>
      <w:r w:rsidRPr="00B62D91">
        <w:rPr>
          <w:lang w:val="en-US"/>
        </w:rPr>
        <w:t>penting</w:t>
      </w:r>
      <w:proofErr w:type="spellEnd"/>
      <w:r w:rsidRPr="00B62D91">
        <w:rPr>
          <w:lang w:val="en-US"/>
        </w:rPr>
        <w:t xml:space="preserve"> </w:t>
      </w:r>
      <w:proofErr w:type="spellStart"/>
      <w:r w:rsidRPr="00B62D91">
        <w:rPr>
          <w:lang w:val="en-US"/>
        </w:rPr>
        <w:t>dalam</w:t>
      </w:r>
      <w:proofErr w:type="spellEnd"/>
      <w:r w:rsidRPr="00B62D91">
        <w:rPr>
          <w:lang w:val="en-US"/>
        </w:rPr>
        <w:t xml:space="preserve"> </w:t>
      </w:r>
      <w:proofErr w:type="spellStart"/>
      <w:r w:rsidRPr="00B62D91">
        <w:rPr>
          <w:lang w:val="en-US"/>
        </w:rPr>
        <w:t>meningkatkan</w:t>
      </w:r>
      <w:proofErr w:type="spellEnd"/>
      <w:r w:rsidRPr="00B62D91">
        <w:rPr>
          <w:lang w:val="en-US"/>
        </w:rPr>
        <w:t xml:space="preserve"> </w:t>
      </w:r>
      <w:proofErr w:type="spellStart"/>
      <w:r w:rsidRPr="00B62D91">
        <w:rPr>
          <w:lang w:val="en-US"/>
        </w:rPr>
        <w:t>kualitas</w:t>
      </w:r>
      <w:proofErr w:type="spellEnd"/>
      <w:r w:rsidRPr="00B62D91">
        <w:rPr>
          <w:lang w:val="en-US"/>
        </w:rPr>
        <w:t xml:space="preserve"> </w:t>
      </w:r>
      <w:proofErr w:type="spellStart"/>
      <w:r w:rsidRPr="00B62D91">
        <w:rPr>
          <w:lang w:val="en-US"/>
        </w:rPr>
        <w:t>hidup</w:t>
      </w:r>
      <w:proofErr w:type="spellEnd"/>
      <w:r w:rsidRPr="00B62D91">
        <w:rPr>
          <w:lang w:val="en-US"/>
        </w:rPr>
        <w:t xml:space="preserve"> </w:t>
      </w:r>
      <w:proofErr w:type="spellStart"/>
      <w:r w:rsidRPr="00B62D91">
        <w:rPr>
          <w:lang w:val="en-US"/>
        </w:rPr>
        <w:t>pasien</w:t>
      </w:r>
      <w:proofErr w:type="spellEnd"/>
      <w:r w:rsidRPr="00B62D91">
        <w:rPr>
          <w:lang w:val="en-US"/>
        </w:rPr>
        <w:t xml:space="preserve"> </w:t>
      </w:r>
      <w:proofErr w:type="spellStart"/>
      <w:r w:rsidRPr="00B62D91">
        <w:rPr>
          <w:lang w:val="en-US"/>
        </w:rPr>
        <w:t>melalui</w:t>
      </w:r>
      <w:proofErr w:type="spellEnd"/>
      <w:r w:rsidRPr="00B62D91">
        <w:rPr>
          <w:lang w:val="en-US"/>
        </w:rPr>
        <w:t xml:space="preserve"> </w:t>
      </w:r>
      <w:proofErr w:type="spellStart"/>
      <w:r w:rsidRPr="00B62D91">
        <w:rPr>
          <w:lang w:val="en-US"/>
        </w:rPr>
        <w:t>pengendalian</w:t>
      </w:r>
      <w:proofErr w:type="spellEnd"/>
      <w:r w:rsidRPr="00B62D91">
        <w:rPr>
          <w:lang w:val="en-US"/>
        </w:rPr>
        <w:t xml:space="preserve"> </w:t>
      </w:r>
      <w:proofErr w:type="spellStart"/>
      <w:r w:rsidRPr="00B62D91">
        <w:rPr>
          <w:lang w:val="en-US"/>
        </w:rPr>
        <w:t>gejala</w:t>
      </w:r>
      <w:proofErr w:type="spellEnd"/>
      <w:r w:rsidRPr="00B62D91">
        <w:rPr>
          <w:lang w:val="en-US"/>
        </w:rPr>
        <w:t xml:space="preserve">, </w:t>
      </w:r>
      <w:proofErr w:type="spellStart"/>
      <w:r w:rsidRPr="00B62D91">
        <w:rPr>
          <w:lang w:val="en-US"/>
        </w:rPr>
        <w:t>pencegahan</w:t>
      </w:r>
      <w:proofErr w:type="spellEnd"/>
      <w:r w:rsidRPr="00B62D91">
        <w:rPr>
          <w:lang w:val="en-US"/>
        </w:rPr>
        <w:t xml:space="preserve"> </w:t>
      </w:r>
      <w:proofErr w:type="spellStart"/>
      <w:r w:rsidRPr="00B62D91">
        <w:rPr>
          <w:lang w:val="en-US"/>
        </w:rPr>
        <w:t>komplikasi</w:t>
      </w:r>
      <w:proofErr w:type="spellEnd"/>
      <w:r w:rsidRPr="00B62D91">
        <w:rPr>
          <w:lang w:val="en-US"/>
        </w:rPr>
        <w:t xml:space="preserve">, </w:t>
      </w:r>
      <w:proofErr w:type="spellStart"/>
      <w:r w:rsidRPr="00B62D91">
        <w:rPr>
          <w:lang w:val="en-US"/>
        </w:rPr>
        <w:t>serta</w:t>
      </w:r>
      <w:proofErr w:type="spellEnd"/>
      <w:r w:rsidRPr="00B62D91">
        <w:rPr>
          <w:lang w:val="en-US"/>
        </w:rPr>
        <w:t xml:space="preserve"> </w:t>
      </w:r>
      <w:proofErr w:type="spellStart"/>
      <w:r w:rsidRPr="00B62D91">
        <w:rPr>
          <w:lang w:val="en-US"/>
        </w:rPr>
        <w:t>pemeliharaan</w:t>
      </w:r>
      <w:proofErr w:type="spellEnd"/>
      <w:r w:rsidRPr="00B62D91">
        <w:rPr>
          <w:lang w:val="en-US"/>
        </w:rPr>
        <w:t xml:space="preserve"> </w:t>
      </w:r>
      <w:proofErr w:type="spellStart"/>
      <w:r w:rsidRPr="00B62D91">
        <w:rPr>
          <w:lang w:val="en-US"/>
        </w:rPr>
        <w:t>fungsi</w:t>
      </w:r>
      <w:proofErr w:type="spellEnd"/>
      <w:r w:rsidRPr="00B62D91">
        <w:rPr>
          <w:lang w:val="en-US"/>
        </w:rPr>
        <w:t xml:space="preserve"> </w:t>
      </w:r>
      <w:proofErr w:type="spellStart"/>
      <w:r w:rsidRPr="00B62D91">
        <w:rPr>
          <w:lang w:val="en-US"/>
        </w:rPr>
        <w:t>fisik</w:t>
      </w:r>
      <w:proofErr w:type="spellEnd"/>
      <w:r w:rsidRPr="00B62D91">
        <w:rPr>
          <w:lang w:val="en-US"/>
        </w:rPr>
        <w:t xml:space="preserve"> dan </w:t>
      </w:r>
      <w:proofErr w:type="spellStart"/>
      <w:r w:rsidRPr="00B62D91">
        <w:rPr>
          <w:lang w:val="en-US"/>
        </w:rPr>
        <w:t>psikososial</w:t>
      </w:r>
      <w:proofErr w:type="spellEnd"/>
      <w:r w:rsidRPr="00B62D91">
        <w:rPr>
          <w:lang w:val="en-US"/>
        </w:rPr>
        <w:t xml:space="preserve">. </w:t>
      </w:r>
      <w:proofErr w:type="spellStart"/>
      <w:r w:rsidRPr="00B62D91">
        <w:rPr>
          <w:lang w:val="en-US"/>
        </w:rPr>
        <w:t>Dengan</w:t>
      </w:r>
      <w:proofErr w:type="spellEnd"/>
      <w:r w:rsidRPr="00B62D91">
        <w:rPr>
          <w:lang w:val="en-US"/>
        </w:rPr>
        <w:t xml:space="preserve"> </w:t>
      </w:r>
      <w:proofErr w:type="spellStart"/>
      <w:r w:rsidRPr="00B62D91">
        <w:rPr>
          <w:lang w:val="en-US"/>
        </w:rPr>
        <w:t>demikian</w:t>
      </w:r>
      <w:proofErr w:type="spellEnd"/>
      <w:r w:rsidRPr="00B62D91">
        <w:rPr>
          <w:lang w:val="en-US"/>
        </w:rPr>
        <w:t xml:space="preserve">, </w:t>
      </w:r>
      <w:proofErr w:type="spellStart"/>
      <w:r w:rsidRPr="00B62D91">
        <w:rPr>
          <w:lang w:val="en-US"/>
        </w:rPr>
        <w:t>tenaga</w:t>
      </w:r>
      <w:proofErr w:type="spellEnd"/>
      <w:r w:rsidRPr="00B62D91">
        <w:rPr>
          <w:lang w:val="en-US"/>
        </w:rPr>
        <w:t xml:space="preserve"> </w:t>
      </w:r>
      <w:proofErr w:type="spellStart"/>
      <w:r w:rsidRPr="00B62D91">
        <w:rPr>
          <w:lang w:val="en-US"/>
        </w:rPr>
        <w:t>kesehatan</w:t>
      </w:r>
      <w:proofErr w:type="spellEnd"/>
      <w:r w:rsidRPr="00B62D91">
        <w:rPr>
          <w:lang w:val="en-US"/>
        </w:rPr>
        <w:t xml:space="preserve"> </w:t>
      </w:r>
      <w:proofErr w:type="spellStart"/>
      <w:r w:rsidRPr="00B62D91">
        <w:rPr>
          <w:lang w:val="en-US"/>
        </w:rPr>
        <w:t>diharapkan</w:t>
      </w:r>
      <w:proofErr w:type="spellEnd"/>
      <w:r w:rsidRPr="00B62D91">
        <w:rPr>
          <w:lang w:val="en-US"/>
        </w:rPr>
        <w:t xml:space="preserve"> </w:t>
      </w:r>
      <w:proofErr w:type="spellStart"/>
      <w:r w:rsidRPr="00B62D91">
        <w:rPr>
          <w:lang w:val="en-US"/>
        </w:rPr>
        <w:t>dapat</w:t>
      </w:r>
      <w:proofErr w:type="spellEnd"/>
      <w:r w:rsidRPr="00B62D91">
        <w:rPr>
          <w:lang w:val="en-US"/>
        </w:rPr>
        <w:t xml:space="preserve"> </w:t>
      </w:r>
      <w:proofErr w:type="spellStart"/>
      <w:r w:rsidRPr="00B62D91">
        <w:rPr>
          <w:lang w:val="en-US"/>
        </w:rPr>
        <w:t>terus</w:t>
      </w:r>
      <w:proofErr w:type="spellEnd"/>
      <w:r w:rsidRPr="00B62D91">
        <w:rPr>
          <w:lang w:val="en-US"/>
        </w:rPr>
        <w:t xml:space="preserve"> </w:t>
      </w:r>
      <w:proofErr w:type="spellStart"/>
      <w:r w:rsidRPr="00B62D91">
        <w:rPr>
          <w:lang w:val="en-US"/>
        </w:rPr>
        <w:t>memberikan</w:t>
      </w:r>
      <w:proofErr w:type="spellEnd"/>
      <w:r w:rsidRPr="00B62D91">
        <w:rPr>
          <w:lang w:val="en-US"/>
        </w:rPr>
        <w:t xml:space="preserve"> </w:t>
      </w:r>
      <w:proofErr w:type="spellStart"/>
      <w:r w:rsidRPr="00B62D91">
        <w:rPr>
          <w:lang w:val="en-US"/>
        </w:rPr>
        <w:t>edukasi</w:t>
      </w:r>
      <w:proofErr w:type="spellEnd"/>
      <w:r w:rsidRPr="00B62D91">
        <w:rPr>
          <w:lang w:val="en-US"/>
        </w:rPr>
        <w:t xml:space="preserve">, </w:t>
      </w:r>
      <w:proofErr w:type="spellStart"/>
      <w:r w:rsidRPr="00B62D91">
        <w:rPr>
          <w:lang w:val="en-US"/>
        </w:rPr>
        <w:t>motivasi</w:t>
      </w:r>
      <w:proofErr w:type="spellEnd"/>
      <w:r w:rsidRPr="00B62D91">
        <w:rPr>
          <w:lang w:val="en-US"/>
        </w:rPr>
        <w:t xml:space="preserve">, </w:t>
      </w:r>
      <w:proofErr w:type="spellStart"/>
      <w:r w:rsidRPr="00B62D91">
        <w:rPr>
          <w:lang w:val="en-US"/>
        </w:rPr>
        <w:t>serta</w:t>
      </w:r>
      <w:proofErr w:type="spellEnd"/>
      <w:r w:rsidRPr="00B62D91">
        <w:rPr>
          <w:lang w:val="en-US"/>
        </w:rPr>
        <w:t xml:space="preserve"> </w:t>
      </w:r>
      <w:proofErr w:type="spellStart"/>
      <w:r w:rsidRPr="00B62D91">
        <w:rPr>
          <w:lang w:val="en-US"/>
        </w:rPr>
        <w:t>pendampingan</w:t>
      </w:r>
      <w:proofErr w:type="spellEnd"/>
      <w:r w:rsidRPr="00B62D91">
        <w:rPr>
          <w:lang w:val="en-US"/>
        </w:rPr>
        <w:t xml:space="preserve"> </w:t>
      </w:r>
      <w:proofErr w:type="spellStart"/>
      <w:r w:rsidRPr="00B62D91">
        <w:rPr>
          <w:lang w:val="en-US"/>
        </w:rPr>
        <w:t>berkelanjutan</w:t>
      </w:r>
      <w:proofErr w:type="spellEnd"/>
      <w:r w:rsidRPr="00B62D91">
        <w:rPr>
          <w:lang w:val="en-US"/>
        </w:rPr>
        <w:t xml:space="preserve"> </w:t>
      </w:r>
      <w:proofErr w:type="spellStart"/>
      <w:r w:rsidRPr="00B62D91">
        <w:rPr>
          <w:lang w:val="en-US"/>
        </w:rPr>
        <w:t>untuk</w:t>
      </w:r>
      <w:proofErr w:type="spellEnd"/>
      <w:r w:rsidRPr="00B62D91">
        <w:rPr>
          <w:lang w:val="en-US"/>
        </w:rPr>
        <w:t xml:space="preserve"> </w:t>
      </w:r>
      <w:proofErr w:type="spellStart"/>
      <w:r w:rsidRPr="00B62D91">
        <w:rPr>
          <w:lang w:val="en-US"/>
        </w:rPr>
        <w:t>mendukung</w:t>
      </w:r>
      <w:proofErr w:type="spellEnd"/>
      <w:r w:rsidRPr="00B62D91">
        <w:rPr>
          <w:lang w:val="en-US"/>
        </w:rPr>
        <w:t xml:space="preserve"> </w:t>
      </w:r>
      <w:proofErr w:type="spellStart"/>
      <w:r w:rsidRPr="00B62D91">
        <w:rPr>
          <w:lang w:val="en-US"/>
        </w:rPr>
        <w:t>kepatuhan</w:t>
      </w:r>
      <w:proofErr w:type="spellEnd"/>
      <w:r w:rsidRPr="00B62D91">
        <w:rPr>
          <w:lang w:val="en-US"/>
        </w:rPr>
        <w:t xml:space="preserve"> </w:t>
      </w:r>
      <w:proofErr w:type="spellStart"/>
      <w:r w:rsidRPr="00B62D91">
        <w:rPr>
          <w:lang w:val="en-US"/>
        </w:rPr>
        <w:t>pasien</w:t>
      </w:r>
      <w:proofErr w:type="spellEnd"/>
      <w:r w:rsidRPr="00B62D91">
        <w:rPr>
          <w:lang w:val="en-US"/>
        </w:rPr>
        <w:t xml:space="preserve">, </w:t>
      </w:r>
      <w:proofErr w:type="spellStart"/>
      <w:r w:rsidRPr="00B62D91">
        <w:rPr>
          <w:lang w:val="en-US"/>
        </w:rPr>
        <w:t>sehingga</w:t>
      </w:r>
      <w:proofErr w:type="spellEnd"/>
      <w:r w:rsidRPr="00B62D91">
        <w:rPr>
          <w:lang w:val="en-US"/>
        </w:rPr>
        <w:t xml:space="preserve"> </w:t>
      </w:r>
      <w:proofErr w:type="spellStart"/>
      <w:r w:rsidRPr="00B62D91">
        <w:rPr>
          <w:lang w:val="en-US"/>
        </w:rPr>
        <w:t>kualitas</w:t>
      </w:r>
      <w:proofErr w:type="spellEnd"/>
      <w:r w:rsidRPr="00B62D91">
        <w:rPr>
          <w:lang w:val="en-US"/>
        </w:rPr>
        <w:t xml:space="preserve"> </w:t>
      </w:r>
      <w:proofErr w:type="spellStart"/>
      <w:r w:rsidRPr="00B62D91">
        <w:rPr>
          <w:lang w:val="en-US"/>
        </w:rPr>
        <w:t>hidup</w:t>
      </w:r>
      <w:proofErr w:type="spellEnd"/>
      <w:r w:rsidRPr="00B62D91">
        <w:rPr>
          <w:lang w:val="en-US"/>
        </w:rPr>
        <w:t xml:space="preserve"> </w:t>
      </w:r>
      <w:proofErr w:type="spellStart"/>
      <w:r w:rsidRPr="00B62D91">
        <w:rPr>
          <w:lang w:val="en-US"/>
        </w:rPr>
        <w:t>mereka</w:t>
      </w:r>
      <w:proofErr w:type="spellEnd"/>
      <w:r w:rsidRPr="00B62D91">
        <w:rPr>
          <w:lang w:val="en-US"/>
        </w:rPr>
        <w:t xml:space="preserve"> </w:t>
      </w:r>
      <w:proofErr w:type="spellStart"/>
      <w:r w:rsidRPr="00B62D91">
        <w:rPr>
          <w:lang w:val="en-US"/>
        </w:rPr>
        <w:t>dapat</w:t>
      </w:r>
      <w:proofErr w:type="spellEnd"/>
      <w:r w:rsidRPr="00B62D91">
        <w:rPr>
          <w:lang w:val="en-US"/>
        </w:rPr>
        <w:t xml:space="preserve"> </w:t>
      </w:r>
      <w:proofErr w:type="spellStart"/>
      <w:r w:rsidRPr="00B62D91">
        <w:rPr>
          <w:lang w:val="en-US"/>
        </w:rPr>
        <w:t>terjaga</w:t>
      </w:r>
      <w:proofErr w:type="spellEnd"/>
      <w:r w:rsidRPr="00B62D91">
        <w:rPr>
          <w:lang w:val="en-US"/>
        </w:rPr>
        <w:t xml:space="preserve"> </w:t>
      </w:r>
      <w:proofErr w:type="spellStart"/>
      <w:r w:rsidRPr="00B62D91">
        <w:rPr>
          <w:lang w:val="en-US"/>
        </w:rPr>
        <w:t>secara</w:t>
      </w:r>
      <w:proofErr w:type="spellEnd"/>
      <w:r w:rsidRPr="00B62D91">
        <w:rPr>
          <w:lang w:val="en-US"/>
        </w:rPr>
        <w:t xml:space="preserve"> optimal.</w:t>
      </w:r>
    </w:p>
    <w:p w14:paraId="3361D870" w14:textId="77777777" w:rsidR="00860849" w:rsidRDefault="00860849" w:rsidP="00860849">
      <w:pPr>
        <w:pStyle w:val="BodyText"/>
        <w:spacing w:line="360" w:lineRule="auto"/>
        <w:ind w:left="1890"/>
        <w:jc w:val="both"/>
      </w:pPr>
    </w:p>
    <w:p w14:paraId="6A842CE0" w14:textId="77777777" w:rsidR="00142B75" w:rsidRPr="007A7B96" w:rsidRDefault="00142B75" w:rsidP="00142B75">
      <w:pPr>
        <w:pStyle w:val="BodyText"/>
        <w:spacing w:line="360" w:lineRule="auto"/>
        <w:ind w:left="1530"/>
        <w:jc w:val="both"/>
      </w:pPr>
    </w:p>
    <w:p w14:paraId="14504DC5" w14:textId="70E551F2" w:rsidR="00840A77" w:rsidRPr="00840A77" w:rsidRDefault="00840A77" w:rsidP="00DC3006">
      <w:pPr>
        <w:pStyle w:val="BodyText"/>
        <w:spacing w:line="360" w:lineRule="auto"/>
        <w:jc w:val="both"/>
        <w:rPr>
          <w:b/>
          <w:bCs/>
        </w:rPr>
      </w:pPr>
    </w:p>
    <w:p w14:paraId="21BBE6B4" w14:textId="77777777" w:rsidR="00613CC8" w:rsidRDefault="00613CC8" w:rsidP="00DC3006">
      <w:pPr>
        <w:pStyle w:val="BodyText"/>
        <w:spacing w:line="360" w:lineRule="auto"/>
        <w:ind w:left="426" w:firstLine="751"/>
        <w:jc w:val="both"/>
        <w:rPr>
          <w:lang w:val="en-US"/>
        </w:rPr>
      </w:pPr>
    </w:p>
    <w:p w14:paraId="42117BC8" w14:textId="77777777" w:rsidR="006B518D" w:rsidRPr="006B518D" w:rsidRDefault="006B518D" w:rsidP="00DC3006">
      <w:pPr>
        <w:pStyle w:val="BodyText"/>
        <w:spacing w:line="360" w:lineRule="auto"/>
        <w:ind w:left="426" w:firstLine="751"/>
        <w:jc w:val="both"/>
        <w:rPr>
          <w:lang w:val="en-US"/>
        </w:rPr>
      </w:pPr>
    </w:p>
    <w:p w14:paraId="51C287F6" w14:textId="16A40502" w:rsidR="00FB344A" w:rsidRDefault="002C5E8F" w:rsidP="002C5E8F">
      <w:pPr>
        <w:jc w:val="center"/>
        <w:rPr>
          <w:rFonts w:ascii="Times New Roman" w:hAnsi="Times New Roman" w:cs="Times New Roman"/>
          <w:b/>
        </w:rPr>
      </w:pPr>
      <w:r>
        <w:rPr>
          <w:rFonts w:ascii="Times New Roman" w:hAnsi="Times New Roman" w:cs="Times New Roman"/>
          <w:b/>
        </w:rPr>
        <w:lastRenderedPageBreak/>
        <w:t>DAFTAR PUSTAKA</w:t>
      </w:r>
    </w:p>
    <w:p w14:paraId="757792DF" w14:textId="77777777" w:rsidR="002C5E8F" w:rsidRDefault="002C5E8F" w:rsidP="002C5E8F">
      <w:pPr>
        <w:jc w:val="center"/>
        <w:rPr>
          <w:rFonts w:ascii="Times New Roman" w:hAnsi="Times New Roman" w:cs="Times New Roman"/>
          <w:b/>
        </w:rPr>
      </w:pPr>
    </w:p>
    <w:p w14:paraId="63D15374"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b/>
          <w:bCs/>
        </w:rPr>
        <w:fldChar w:fldCharType="begin" w:fldLock="1"/>
      </w:r>
      <w:r w:rsidRPr="004D44D2">
        <w:rPr>
          <w:rFonts w:ascii="Times New Roman" w:hAnsi="Times New Roman" w:cs="Times New Roman"/>
          <w:b/>
          <w:bCs/>
        </w:rPr>
        <w:instrText xml:space="preserve">ADDIN Mendeley Bibliography CSL_BIBLIOGRAPHY </w:instrText>
      </w:r>
      <w:r w:rsidRPr="004D44D2">
        <w:rPr>
          <w:rFonts w:ascii="Times New Roman" w:hAnsi="Times New Roman" w:cs="Times New Roman"/>
          <w:b/>
          <w:bCs/>
        </w:rPr>
        <w:fldChar w:fldCharType="separate"/>
      </w:r>
      <w:r w:rsidRPr="004D44D2">
        <w:rPr>
          <w:rFonts w:ascii="Times New Roman" w:hAnsi="Times New Roman" w:cs="Times New Roman"/>
          <w:noProof/>
        </w:rPr>
        <w:t xml:space="preserve">Adiputra, Y., Lestari, R. D., &amp; Wulandari, S. (2021). </w:t>
      </w:r>
      <w:r w:rsidRPr="004D44D2">
        <w:rPr>
          <w:rFonts w:ascii="Times New Roman" w:hAnsi="Times New Roman" w:cs="Times New Roman"/>
          <w:i/>
          <w:iCs/>
          <w:noProof/>
        </w:rPr>
        <w:t>Metodologi penelitian keperawatan dan kesehatan</w:t>
      </w:r>
      <w:r w:rsidRPr="004D44D2">
        <w:rPr>
          <w:rFonts w:ascii="Times New Roman" w:hAnsi="Times New Roman" w:cs="Times New Roman"/>
          <w:noProof/>
        </w:rPr>
        <w:t>. Nuha Medika.</w:t>
      </w:r>
    </w:p>
    <w:p w14:paraId="707B6AC5"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Amanda. (2022). Kualitas hidup pasien gagal ginjal kronik yang menjalani hemodialisa. </w:t>
      </w:r>
      <w:r w:rsidRPr="004D44D2">
        <w:rPr>
          <w:rFonts w:ascii="Times New Roman" w:hAnsi="Times New Roman" w:cs="Times New Roman"/>
          <w:i/>
          <w:iCs/>
          <w:noProof/>
        </w:rPr>
        <w:t>Keperawatan Indonesia</w:t>
      </w:r>
      <w:r w:rsidRPr="004D44D2">
        <w:rPr>
          <w:rFonts w:ascii="Times New Roman" w:hAnsi="Times New Roman" w:cs="Times New Roman"/>
          <w:noProof/>
        </w:rPr>
        <w:t xml:space="preserve">, </w:t>
      </w:r>
      <w:r w:rsidRPr="004D44D2">
        <w:rPr>
          <w:rFonts w:ascii="Times New Roman" w:hAnsi="Times New Roman" w:cs="Times New Roman"/>
          <w:i/>
          <w:iCs/>
          <w:noProof/>
        </w:rPr>
        <w:t>10</w:t>
      </w:r>
      <w:r w:rsidRPr="004D44D2">
        <w:rPr>
          <w:rFonts w:ascii="Times New Roman" w:hAnsi="Times New Roman" w:cs="Times New Roman"/>
          <w:noProof/>
        </w:rPr>
        <w:t>(2), 112–120.</w:t>
      </w:r>
    </w:p>
    <w:p w14:paraId="49BBFB68"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Bellasari, M. (2020). </w:t>
      </w:r>
      <w:r w:rsidRPr="004D44D2">
        <w:rPr>
          <w:rFonts w:ascii="Times New Roman" w:hAnsi="Times New Roman" w:cs="Times New Roman"/>
          <w:i/>
          <w:iCs/>
          <w:noProof/>
        </w:rPr>
        <w:t>Metodologi Penelitian Kesehatan</w:t>
      </w:r>
      <w:r w:rsidRPr="004D44D2">
        <w:rPr>
          <w:rFonts w:ascii="Times New Roman" w:hAnsi="Times New Roman" w:cs="Times New Roman"/>
          <w:noProof/>
        </w:rPr>
        <w:t>. Mitra Cendekia Press.</w:t>
      </w:r>
    </w:p>
    <w:p w14:paraId="4BA897BA"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Butar, M., &amp; Siregar, M. (2015). Faktor-faktor yang mempengaruhi kualitas hidup pasien gagal ginjal kronik yang menjalani hemodialisis. </w:t>
      </w:r>
      <w:r w:rsidRPr="004D44D2">
        <w:rPr>
          <w:rFonts w:ascii="Times New Roman" w:hAnsi="Times New Roman" w:cs="Times New Roman"/>
          <w:i/>
          <w:iCs/>
          <w:noProof/>
        </w:rPr>
        <w:t>Jurnal Keperawatan Soedirman</w:t>
      </w:r>
      <w:r w:rsidRPr="004D44D2">
        <w:rPr>
          <w:rFonts w:ascii="Times New Roman" w:hAnsi="Times New Roman" w:cs="Times New Roman"/>
          <w:noProof/>
        </w:rPr>
        <w:t xml:space="preserve">, </w:t>
      </w:r>
      <w:r w:rsidRPr="004D44D2">
        <w:rPr>
          <w:rFonts w:ascii="Times New Roman" w:hAnsi="Times New Roman" w:cs="Times New Roman"/>
          <w:i/>
          <w:iCs/>
          <w:noProof/>
        </w:rPr>
        <w:t>10</w:t>
      </w:r>
      <w:r w:rsidRPr="004D44D2">
        <w:rPr>
          <w:rFonts w:ascii="Times New Roman" w:hAnsi="Times New Roman" w:cs="Times New Roman"/>
          <w:noProof/>
        </w:rPr>
        <w:t>(1), 44–50.</w:t>
      </w:r>
    </w:p>
    <w:p w14:paraId="1DD19755"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Dinkes. (2023). </w:t>
      </w:r>
      <w:r w:rsidRPr="004D44D2">
        <w:rPr>
          <w:rFonts w:ascii="Times New Roman" w:hAnsi="Times New Roman" w:cs="Times New Roman"/>
          <w:i/>
          <w:iCs/>
          <w:noProof/>
        </w:rPr>
        <w:t>Profil Kesehatan Provinsi Jawa Tengah Tahun 2023. Rembang: Dinkes Jateng.</w:t>
      </w:r>
    </w:p>
    <w:p w14:paraId="0CA76CC7"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Ekasari, D., Riasmini, N. M., &amp; Hartini, N. (2019). </w:t>
      </w:r>
      <w:r w:rsidRPr="004D44D2">
        <w:rPr>
          <w:rFonts w:ascii="Times New Roman" w:hAnsi="Times New Roman" w:cs="Times New Roman"/>
          <w:i/>
          <w:iCs/>
          <w:noProof/>
        </w:rPr>
        <w:t>Kualitas hidup pada pasien penyakit kronis: Perspektif psikologi dan budaya. Jakarta: Prenadamedia Group.</w:t>
      </w:r>
    </w:p>
    <w:p w14:paraId="0E04BA0E"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Febriyantara, R. (2016). </w:t>
      </w:r>
      <w:r w:rsidRPr="004D44D2">
        <w:rPr>
          <w:rFonts w:ascii="Times New Roman" w:hAnsi="Times New Roman" w:cs="Times New Roman"/>
          <w:i/>
          <w:iCs/>
          <w:noProof/>
        </w:rPr>
        <w:t>Hubungan kepatuhan hemodialisis dengan kualitas hidup pasien gagal ginjal kronik di RSUD Dr. Soetomo Surabaya [Skripsi, Universitas Airlangga].</w:t>
      </w:r>
    </w:p>
    <w:p w14:paraId="6662618F"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Febriyantara, R. (2022). Febriyantara, R. (2022). Faktor-faktor yang memengaruhi kepatuhan pasien gagal ginjal kronik dalam menjalani terapi hemodialisa di RSUD Dr. Soetomo Surabaya. Jurnal Ilmu Keperawatan, 10(2), 115–124. </w:t>
      </w:r>
      <w:r w:rsidRPr="004D44D2">
        <w:rPr>
          <w:rFonts w:ascii="Times New Roman" w:hAnsi="Times New Roman" w:cs="Times New Roman"/>
          <w:i/>
          <w:iCs/>
          <w:noProof/>
        </w:rPr>
        <w:t>Jurnal Ilmu Keperawatan</w:t>
      </w:r>
      <w:r w:rsidRPr="004D44D2">
        <w:rPr>
          <w:rFonts w:ascii="Times New Roman" w:hAnsi="Times New Roman" w:cs="Times New Roman"/>
          <w:noProof/>
        </w:rPr>
        <w:t xml:space="preserve">, </w:t>
      </w:r>
      <w:r w:rsidRPr="004D44D2">
        <w:rPr>
          <w:rFonts w:ascii="Times New Roman" w:hAnsi="Times New Roman" w:cs="Times New Roman"/>
          <w:i/>
          <w:iCs/>
          <w:noProof/>
        </w:rPr>
        <w:t>10</w:t>
      </w:r>
      <w:r w:rsidRPr="004D44D2">
        <w:rPr>
          <w:rFonts w:ascii="Times New Roman" w:hAnsi="Times New Roman" w:cs="Times New Roman"/>
          <w:noProof/>
        </w:rPr>
        <w:t>(2), 115–124.</w:t>
      </w:r>
    </w:p>
    <w:p w14:paraId="674586CF"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Gulton, L. (2014). </w:t>
      </w:r>
      <w:r w:rsidRPr="004D44D2">
        <w:rPr>
          <w:rFonts w:ascii="Times New Roman" w:hAnsi="Times New Roman" w:cs="Times New Roman"/>
          <w:i/>
          <w:iCs/>
          <w:noProof/>
        </w:rPr>
        <w:t>Analisis Validitas dan Reliabilitas Instrumen Penelitian Kesehatan.</w:t>
      </w:r>
    </w:p>
    <w:p w14:paraId="7151A78F"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Herdayati, L., Suryani, S., &amp; Nugraheni, S. A. (2019). </w:t>
      </w:r>
      <w:r w:rsidRPr="004D44D2">
        <w:rPr>
          <w:rFonts w:ascii="Times New Roman" w:hAnsi="Times New Roman" w:cs="Times New Roman"/>
          <w:i/>
          <w:iCs/>
          <w:noProof/>
        </w:rPr>
        <w:t>Metodologi penelitian keperawatan dan kesehatan</w:t>
      </w:r>
      <w:r w:rsidRPr="004D44D2">
        <w:rPr>
          <w:rFonts w:ascii="Times New Roman" w:hAnsi="Times New Roman" w:cs="Times New Roman"/>
          <w:noProof/>
        </w:rPr>
        <w:t>.</w:t>
      </w:r>
    </w:p>
    <w:p w14:paraId="64961C85"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Hutagaol. (2017). </w:t>
      </w:r>
      <w:r w:rsidRPr="004D44D2">
        <w:rPr>
          <w:rFonts w:ascii="Times New Roman" w:hAnsi="Times New Roman" w:cs="Times New Roman"/>
          <w:i/>
          <w:iCs/>
          <w:noProof/>
        </w:rPr>
        <w:t>Asuhan keperawatan pada pasien dengan gangguan sistem perkemihan</w:t>
      </w:r>
      <w:r w:rsidRPr="004D44D2">
        <w:rPr>
          <w:rFonts w:ascii="Times New Roman" w:hAnsi="Times New Roman" w:cs="Times New Roman"/>
          <w:noProof/>
        </w:rPr>
        <w:t>. EGC.</w:t>
      </w:r>
    </w:p>
    <w:p w14:paraId="6DD11905"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Ignatavicius, D. D., Workman, M. L., &amp; Rebar, C. R. (2018). </w:t>
      </w:r>
      <w:r w:rsidRPr="004D44D2">
        <w:rPr>
          <w:rFonts w:ascii="Times New Roman" w:hAnsi="Times New Roman" w:cs="Times New Roman"/>
          <w:i/>
          <w:iCs/>
          <w:noProof/>
        </w:rPr>
        <w:t>Medical-surgical nursing: Concepts for interprofessional collaborative care (9th ed.)</w:t>
      </w:r>
      <w:r w:rsidRPr="004D44D2">
        <w:rPr>
          <w:rFonts w:ascii="Times New Roman" w:hAnsi="Times New Roman" w:cs="Times New Roman"/>
          <w:noProof/>
        </w:rPr>
        <w:t>.</w:t>
      </w:r>
    </w:p>
    <w:p w14:paraId="09B9B494"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Kemenkes. (2023a). </w:t>
      </w:r>
      <w:r w:rsidRPr="004D44D2">
        <w:rPr>
          <w:rFonts w:ascii="Times New Roman" w:hAnsi="Times New Roman" w:cs="Times New Roman"/>
          <w:i/>
          <w:iCs/>
          <w:noProof/>
        </w:rPr>
        <w:t>Pedoman pengelolaan penyakit kronik di layanan kesehatan primer. Jakarta: Direktorat Pencegahan dan Pengendalian Penyakit Tidak Menular, Kemenkes RI.</w:t>
      </w:r>
    </w:p>
    <w:p w14:paraId="34514AA3"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Kemenkes. (2023b). </w:t>
      </w:r>
      <w:r w:rsidRPr="004D44D2">
        <w:rPr>
          <w:rFonts w:ascii="Times New Roman" w:hAnsi="Times New Roman" w:cs="Times New Roman"/>
          <w:i/>
          <w:iCs/>
          <w:noProof/>
        </w:rPr>
        <w:t>Situasi penyakit ginjal kronik di Indonesia tahun 2023. Jakarta: Pusat Data dan Informasi Kementerian Kesehatan RI.</w:t>
      </w:r>
    </w:p>
    <w:p w14:paraId="2DA923E3"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Kusniawati, E. (2018). Hubungan kepatuhan hemodialisa dengan status kesehatan pasien gagal ginjal kronik. </w:t>
      </w:r>
      <w:r w:rsidRPr="004D44D2">
        <w:rPr>
          <w:rFonts w:ascii="Times New Roman" w:hAnsi="Times New Roman" w:cs="Times New Roman"/>
          <w:i/>
          <w:iCs/>
          <w:noProof/>
        </w:rPr>
        <w:t>Jurnal Ilmu Keperawatan</w:t>
      </w:r>
      <w:r w:rsidRPr="004D44D2">
        <w:rPr>
          <w:rFonts w:ascii="Times New Roman" w:hAnsi="Times New Roman" w:cs="Times New Roman"/>
          <w:noProof/>
        </w:rPr>
        <w:t xml:space="preserve">, </w:t>
      </w:r>
      <w:r w:rsidRPr="004D44D2">
        <w:rPr>
          <w:rFonts w:ascii="Times New Roman" w:hAnsi="Times New Roman" w:cs="Times New Roman"/>
          <w:i/>
          <w:iCs/>
          <w:noProof/>
        </w:rPr>
        <w:t>6</w:t>
      </w:r>
      <w:r w:rsidRPr="004D44D2">
        <w:rPr>
          <w:rFonts w:ascii="Times New Roman" w:hAnsi="Times New Roman" w:cs="Times New Roman"/>
          <w:noProof/>
        </w:rPr>
        <w:t>(2), 88–95.</w:t>
      </w:r>
    </w:p>
    <w:p w14:paraId="4CD278AE"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lastRenderedPageBreak/>
        <w:t xml:space="preserve">Lestari, I., &amp; Nurmala, I. (2015). </w:t>
      </w:r>
      <w:r w:rsidRPr="004D44D2">
        <w:rPr>
          <w:rFonts w:ascii="Times New Roman" w:hAnsi="Times New Roman" w:cs="Times New Roman"/>
          <w:i/>
          <w:iCs/>
          <w:noProof/>
        </w:rPr>
        <w:t>Faktor-faktor yang berhubungan dengan kepatuhan pasien dalam menjalani hemodialisa. Jakarta: Universitas Indonesia.</w:t>
      </w:r>
    </w:p>
    <w:p w14:paraId="416C9469"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Mailani, D. (2017). Hemodialisis dan pengaruhnya terhadap kualitas hidup pasien gagal ginjal kronik. </w:t>
      </w:r>
      <w:r w:rsidRPr="004D44D2">
        <w:rPr>
          <w:rFonts w:ascii="Times New Roman" w:hAnsi="Times New Roman" w:cs="Times New Roman"/>
          <w:i/>
          <w:iCs/>
          <w:noProof/>
        </w:rPr>
        <w:t>Jurnal Medikal Bedah</w:t>
      </w:r>
      <w:r w:rsidRPr="004D44D2">
        <w:rPr>
          <w:rFonts w:ascii="Times New Roman" w:hAnsi="Times New Roman" w:cs="Times New Roman"/>
          <w:noProof/>
        </w:rPr>
        <w:t xml:space="preserve">, </w:t>
      </w:r>
      <w:r w:rsidRPr="004D44D2">
        <w:rPr>
          <w:rFonts w:ascii="Times New Roman" w:hAnsi="Times New Roman" w:cs="Times New Roman"/>
          <w:i/>
          <w:iCs/>
          <w:noProof/>
        </w:rPr>
        <w:t>5</w:t>
      </w:r>
      <w:r w:rsidRPr="004D44D2">
        <w:rPr>
          <w:rFonts w:ascii="Times New Roman" w:hAnsi="Times New Roman" w:cs="Times New Roman"/>
          <w:noProof/>
        </w:rPr>
        <w:t>(1), 41–47.</w:t>
      </w:r>
    </w:p>
    <w:p w14:paraId="7D865AE1"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Mait, M. R., Sari, D. P., &amp; Lolong, D. B. (2021). Gambaran gangguan fungsi ginjal pada pasien rawat jalan di RSUP Prof. Dr. R. D. Kandou Manado. </w:t>
      </w:r>
      <w:r w:rsidRPr="004D44D2">
        <w:rPr>
          <w:rFonts w:ascii="Times New Roman" w:hAnsi="Times New Roman" w:cs="Times New Roman"/>
          <w:i/>
          <w:iCs/>
          <w:noProof/>
        </w:rPr>
        <w:t>Jurnal Biomedik (JBM)</w:t>
      </w:r>
      <w:r w:rsidRPr="004D44D2">
        <w:rPr>
          <w:rFonts w:ascii="Times New Roman" w:hAnsi="Times New Roman" w:cs="Times New Roman"/>
          <w:noProof/>
        </w:rPr>
        <w:t xml:space="preserve">, </w:t>
      </w:r>
      <w:r w:rsidRPr="004D44D2">
        <w:rPr>
          <w:rFonts w:ascii="Times New Roman" w:hAnsi="Times New Roman" w:cs="Times New Roman"/>
          <w:i/>
          <w:iCs/>
          <w:noProof/>
        </w:rPr>
        <w:t>13</w:t>
      </w:r>
      <w:r w:rsidRPr="004D44D2">
        <w:rPr>
          <w:rFonts w:ascii="Times New Roman" w:hAnsi="Times New Roman" w:cs="Times New Roman"/>
          <w:noProof/>
        </w:rPr>
        <w:t>(2), 75–82.</w:t>
      </w:r>
    </w:p>
    <w:p w14:paraId="265968AB"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Manguma, R. A., Tobing, E., &amp; Lase, A. (2014). Kepatuhan pasien gagal ginjal kronik terhadap jadwal hemodialisa di RSU Haji Makassar. </w:t>
      </w:r>
      <w:r w:rsidRPr="004D44D2">
        <w:rPr>
          <w:rFonts w:ascii="Times New Roman" w:hAnsi="Times New Roman" w:cs="Times New Roman"/>
          <w:i/>
          <w:iCs/>
          <w:noProof/>
        </w:rPr>
        <w:t>Jurnal Keperawatan Makassar</w:t>
      </w:r>
      <w:r w:rsidRPr="004D44D2">
        <w:rPr>
          <w:rFonts w:ascii="Times New Roman" w:hAnsi="Times New Roman" w:cs="Times New Roman"/>
          <w:noProof/>
        </w:rPr>
        <w:t xml:space="preserve">, </w:t>
      </w:r>
      <w:r w:rsidRPr="004D44D2">
        <w:rPr>
          <w:rFonts w:ascii="Times New Roman" w:hAnsi="Times New Roman" w:cs="Times New Roman"/>
          <w:i/>
          <w:iCs/>
          <w:noProof/>
        </w:rPr>
        <w:t>4</w:t>
      </w:r>
      <w:r w:rsidRPr="004D44D2">
        <w:rPr>
          <w:rFonts w:ascii="Times New Roman" w:hAnsi="Times New Roman" w:cs="Times New Roman"/>
          <w:noProof/>
        </w:rPr>
        <w:t>(1), 23–31.</w:t>
      </w:r>
    </w:p>
    <w:p w14:paraId="4F113692"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Marta, P. (2020). </w:t>
      </w:r>
      <w:r w:rsidRPr="004D44D2">
        <w:rPr>
          <w:rFonts w:ascii="Times New Roman" w:hAnsi="Times New Roman" w:cs="Times New Roman"/>
          <w:i/>
          <w:iCs/>
          <w:noProof/>
        </w:rPr>
        <w:t>Keperawatan medikal bedah: Sistem perkemihan dan hemodialisis. Bandung:</w:t>
      </w:r>
      <w:r w:rsidRPr="004D44D2">
        <w:rPr>
          <w:rFonts w:ascii="Times New Roman" w:hAnsi="Times New Roman" w:cs="Times New Roman"/>
          <w:noProof/>
        </w:rPr>
        <w:t xml:space="preserve"> (CV Medika Utama. (ed.)).</w:t>
      </w:r>
    </w:p>
    <w:p w14:paraId="62675FB2"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Meri. (2014). Hubungan kepatuhan hemodialisa dengan kualitas hidup pasien di unit hemodialisa RSUP Haji Adam Malik Medan [Skripsi, Universitas Sumatera Utara]. Catatan: </w:t>
      </w:r>
      <w:r w:rsidRPr="004D44D2">
        <w:rPr>
          <w:rFonts w:ascii="Times New Roman" w:hAnsi="Times New Roman" w:cs="Times New Roman"/>
          <w:i/>
          <w:iCs/>
          <w:noProof/>
        </w:rPr>
        <w:t>Universitas Sumatera Utara</w:t>
      </w:r>
      <w:r w:rsidRPr="004D44D2">
        <w:rPr>
          <w:rFonts w:ascii="Times New Roman" w:hAnsi="Times New Roman" w:cs="Times New Roman"/>
          <w:noProof/>
        </w:rPr>
        <w:t>.</w:t>
      </w:r>
    </w:p>
    <w:p w14:paraId="32CF15A5"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Nababan, T. (2021). Nababan, T. (2021). Akses vaskular pada pasien gagal ginjal kronik yang menjalani hemodialisis. Jurnal Keperawatan Dialisis Indonesia, 3(2), 66–74. </w:t>
      </w:r>
      <w:r w:rsidRPr="004D44D2">
        <w:rPr>
          <w:rFonts w:ascii="Times New Roman" w:hAnsi="Times New Roman" w:cs="Times New Roman"/>
          <w:i/>
          <w:iCs/>
          <w:noProof/>
        </w:rPr>
        <w:t>Jurnal Keperawatan Dialisis Indonesia</w:t>
      </w:r>
      <w:r w:rsidRPr="004D44D2">
        <w:rPr>
          <w:rFonts w:ascii="Times New Roman" w:hAnsi="Times New Roman" w:cs="Times New Roman"/>
          <w:noProof/>
        </w:rPr>
        <w:t xml:space="preserve">, </w:t>
      </w:r>
      <w:r w:rsidRPr="004D44D2">
        <w:rPr>
          <w:rFonts w:ascii="Times New Roman" w:hAnsi="Times New Roman" w:cs="Times New Roman"/>
          <w:i/>
          <w:iCs/>
          <w:noProof/>
        </w:rPr>
        <w:t>3</w:t>
      </w:r>
      <w:r w:rsidRPr="004D44D2">
        <w:rPr>
          <w:rFonts w:ascii="Times New Roman" w:hAnsi="Times New Roman" w:cs="Times New Roman"/>
          <w:noProof/>
        </w:rPr>
        <w:t>(2), 66–74.</w:t>
      </w:r>
    </w:p>
    <w:p w14:paraId="4D7E1695"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Nisa, K. (2021). Pengaruh edukasi terhadap kepatuhan pasien gagal ginjal kronik dalam menjalani hemodialisis. </w:t>
      </w:r>
      <w:r w:rsidRPr="004D44D2">
        <w:rPr>
          <w:rFonts w:ascii="Times New Roman" w:hAnsi="Times New Roman" w:cs="Times New Roman"/>
          <w:i/>
          <w:iCs/>
          <w:noProof/>
        </w:rPr>
        <w:t>Jurnal Keperawatan Nusantara</w:t>
      </w:r>
      <w:r w:rsidRPr="004D44D2">
        <w:rPr>
          <w:rFonts w:ascii="Times New Roman" w:hAnsi="Times New Roman" w:cs="Times New Roman"/>
          <w:noProof/>
        </w:rPr>
        <w:t xml:space="preserve">, </w:t>
      </w:r>
      <w:r w:rsidRPr="004D44D2">
        <w:rPr>
          <w:rFonts w:ascii="Times New Roman" w:hAnsi="Times New Roman" w:cs="Times New Roman"/>
          <w:i/>
          <w:iCs/>
          <w:noProof/>
        </w:rPr>
        <w:t>6</w:t>
      </w:r>
      <w:r w:rsidRPr="004D44D2">
        <w:rPr>
          <w:rFonts w:ascii="Times New Roman" w:hAnsi="Times New Roman" w:cs="Times New Roman"/>
          <w:noProof/>
        </w:rPr>
        <w:t>(2), 88–96.</w:t>
      </w:r>
    </w:p>
    <w:p w14:paraId="79354271"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Nisa R. (2021). </w:t>
      </w:r>
      <w:r w:rsidRPr="004D44D2">
        <w:rPr>
          <w:rFonts w:ascii="Times New Roman" w:hAnsi="Times New Roman" w:cs="Times New Roman"/>
          <w:i/>
          <w:iCs/>
          <w:noProof/>
        </w:rPr>
        <w:t>Hubungan kepatuhan menjalani terapi hemodialisa dengan kualitas hidup pasien gagal ginjal kronik di RSUD Cut Meutia Kabupaten Aceh Utara [Skripsi, Universitas Malikussaleh].</w:t>
      </w:r>
    </w:p>
    <w:p w14:paraId="0B42F3F9"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Notoatmodjo, S. (2018). </w:t>
      </w:r>
      <w:r w:rsidRPr="004D44D2">
        <w:rPr>
          <w:rFonts w:ascii="Times New Roman" w:hAnsi="Times New Roman" w:cs="Times New Roman"/>
          <w:i/>
          <w:iCs/>
          <w:noProof/>
        </w:rPr>
        <w:t>Metodologi Penelitian Kesehatan (Cet. ke‑). Jakarta: Rineka Cipta.</w:t>
      </w:r>
    </w:p>
    <w:p w14:paraId="229641F2"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Nugraheni, P. D., Susanti, R. A., &amp; Lestari, S. (2021). Pengaruh pendidikan kesehatan terhadap kepatuhan pasien dalam menjalani terapi hemodialisa. Jurnal Keperawatan Terpadu, 9(1), 33–40. </w:t>
      </w:r>
      <w:r w:rsidRPr="004D44D2">
        <w:rPr>
          <w:rFonts w:ascii="Times New Roman" w:hAnsi="Times New Roman" w:cs="Times New Roman"/>
          <w:i/>
          <w:iCs/>
          <w:noProof/>
        </w:rPr>
        <w:t>Jurnal Keperawatan Terpadu</w:t>
      </w:r>
      <w:r w:rsidRPr="004D44D2">
        <w:rPr>
          <w:rFonts w:ascii="Times New Roman" w:hAnsi="Times New Roman" w:cs="Times New Roman"/>
          <w:noProof/>
        </w:rPr>
        <w:t xml:space="preserve">, </w:t>
      </w:r>
      <w:r w:rsidRPr="004D44D2">
        <w:rPr>
          <w:rFonts w:ascii="Times New Roman" w:hAnsi="Times New Roman" w:cs="Times New Roman"/>
          <w:i/>
          <w:iCs/>
          <w:noProof/>
        </w:rPr>
        <w:t>9</w:t>
      </w:r>
      <w:r w:rsidRPr="004D44D2">
        <w:rPr>
          <w:rFonts w:ascii="Times New Roman" w:hAnsi="Times New Roman" w:cs="Times New Roman"/>
          <w:noProof/>
        </w:rPr>
        <w:t>(1), 33–40.</w:t>
      </w:r>
    </w:p>
    <w:p w14:paraId="796C9403"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Nursalam. (2021). </w:t>
      </w:r>
      <w:r w:rsidRPr="004D44D2">
        <w:rPr>
          <w:rFonts w:ascii="Times New Roman" w:hAnsi="Times New Roman" w:cs="Times New Roman"/>
          <w:i/>
          <w:iCs/>
          <w:noProof/>
        </w:rPr>
        <w:t>Proses keperawatan: Aplikasi dalam praktik keperawatan profesional (ed. revisi 2021). Jakarta: Salemba Medika.</w:t>
      </w:r>
      <w:r w:rsidRPr="004D44D2">
        <w:rPr>
          <w:rFonts w:ascii="Times New Roman" w:hAnsi="Times New Roman" w:cs="Times New Roman"/>
          <w:noProof/>
        </w:rPr>
        <w:t xml:space="preserve"> (Salemba Me).</w:t>
      </w:r>
    </w:p>
    <w:p w14:paraId="557732A5"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Pernefri. (2020). </w:t>
      </w:r>
      <w:r w:rsidRPr="004D44D2">
        <w:rPr>
          <w:rFonts w:ascii="Times New Roman" w:hAnsi="Times New Roman" w:cs="Times New Roman"/>
          <w:i/>
          <w:iCs/>
          <w:noProof/>
        </w:rPr>
        <w:t>Buku saku informasi penyakit ginjal kronik. Jakarta: Pernefri.</w:t>
      </w:r>
    </w:p>
    <w:p w14:paraId="58DED203"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Putra, M. M. (2025). </w:t>
      </w:r>
      <w:r w:rsidRPr="004D44D2">
        <w:rPr>
          <w:rFonts w:ascii="Times New Roman" w:hAnsi="Times New Roman" w:cs="Times New Roman"/>
          <w:i/>
          <w:iCs/>
          <w:noProof/>
        </w:rPr>
        <w:t>Hubungan kepatuhan menjalani terapi dialisis dengan kualitas hidup pasien hemodialisa Skripsi, Universitas Brawijaya.</w:t>
      </w:r>
    </w:p>
    <w:p w14:paraId="772B9068"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Riskesdas Depkes RI. Riset Kesehatan Dasar (Riskesdas). (2018). </w:t>
      </w:r>
      <w:r w:rsidRPr="004D44D2">
        <w:rPr>
          <w:rFonts w:ascii="Times New Roman" w:hAnsi="Times New Roman" w:cs="Times New Roman"/>
          <w:i/>
          <w:iCs/>
          <w:noProof/>
        </w:rPr>
        <w:t>Laporan Hasil Riset Kesehatan Dasar (Riskesdas) 2018</w:t>
      </w:r>
      <w:r w:rsidRPr="004D44D2">
        <w:rPr>
          <w:rFonts w:ascii="Times New Roman" w:hAnsi="Times New Roman" w:cs="Times New Roman"/>
          <w:noProof/>
        </w:rPr>
        <w:t>.</w:t>
      </w:r>
    </w:p>
    <w:p w14:paraId="5D4FE562"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lastRenderedPageBreak/>
        <w:t xml:space="preserve">Rustandi, E., Purnamasari, R., &amp; Hidayat, R. (2018). Kualitas hidup pasien gagal ginjal kronik yang menjalani hemodialisis di RSUD Kota Bandung. </w:t>
      </w:r>
      <w:r w:rsidRPr="004D44D2">
        <w:rPr>
          <w:rFonts w:ascii="Times New Roman" w:hAnsi="Times New Roman" w:cs="Times New Roman"/>
          <w:i/>
          <w:iCs/>
          <w:noProof/>
        </w:rPr>
        <w:t>Jurnal Keperawatan Integratif</w:t>
      </w:r>
      <w:r w:rsidRPr="004D44D2">
        <w:rPr>
          <w:rFonts w:ascii="Times New Roman" w:hAnsi="Times New Roman" w:cs="Times New Roman"/>
          <w:noProof/>
        </w:rPr>
        <w:t xml:space="preserve">, </w:t>
      </w:r>
      <w:r w:rsidRPr="004D44D2">
        <w:rPr>
          <w:rFonts w:ascii="Times New Roman" w:hAnsi="Times New Roman" w:cs="Times New Roman"/>
          <w:i/>
          <w:iCs/>
          <w:noProof/>
        </w:rPr>
        <w:t>2</w:t>
      </w:r>
      <w:r w:rsidRPr="004D44D2">
        <w:rPr>
          <w:rFonts w:ascii="Times New Roman" w:hAnsi="Times New Roman" w:cs="Times New Roman"/>
          <w:noProof/>
        </w:rPr>
        <w:t>(1), 55–62.</w:t>
      </w:r>
    </w:p>
    <w:p w14:paraId="5D1FC754"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Sagala. (2015). </w:t>
      </w:r>
      <w:r w:rsidRPr="004D44D2">
        <w:rPr>
          <w:rFonts w:ascii="Times New Roman" w:hAnsi="Times New Roman" w:cs="Times New Roman"/>
          <w:i/>
          <w:iCs/>
          <w:noProof/>
        </w:rPr>
        <w:t>Konsep dan dimensi kualitas hidup dalam keperawatan.</w:t>
      </w:r>
      <w:r w:rsidRPr="004D44D2">
        <w:rPr>
          <w:rFonts w:ascii="Times New Roman" w:hAnsi="Times New Roman" w:cs="Times New Roman"/>
          <w:noProof/>
        </w:rPr>
        <w:t xml:space="preserve"> Mitra Cendekia Press.</w:t>
      </w:r>
    </w:p>
    <w:p w14:paraId="272EBC7B"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Sari, I. N. (2017). </w:t>
      </w:r>
      <w:r w:rsidRPr="004D44D2">
        <w:rPr>
          <w:rFonts w:ascii="Times New Roman" w:hAnsi="Times New Roman" w:cs="Times New Roman"/>
          <w:i/>
          <w:iCs/>
          <w:noProof/>
        </w:rPr>
        <w:t>Kualitas hidup pasien gagal ginjal kronik yang menjalani terapi hemodialisa di rumah sakit. Yogyakarta: Universitas Gadjah Mada</w:t>
      </w:r>
      <w:r w:rsidRPr="004D44D2">
        <w:rPr>
          <w:rFonts w:ascii="Times New Roman" w:hAnsi="Times New Roman" w:cs="Times New Roman"/>
          <w:noProof/>
        </w:rPr>
        <w:t>.</w:t>
      </w:r>
    </w:p>
    <w:p w14:paraId="470181CA"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Siregar, G., &amp; Tambunan, E. (2023). Penatalaksanaan gagal ginjal kronik dan peran terapi hemodialisis. </w:t>
      </w:r>
      <w:r w:rsidRPr="004D44D2">
        <w:rPr>
          <w:rFonts w:ascii="Times New Roman" w:hAnsi="Times New Roman" w:cs="Times New Roman"/>
          <w:i/>
          <w:iCs/>
          <w:noProof/>
        </w:rPr>
        <w:t>Jurnal Keperawatan Medikal Bedah</w:t>
      </w:r>
      <w:r w:rsidRPr="004D44D2">
        <w:rPr>
          <w:rFonts w:ascii="Times New Roman" w:hAnsi="Times New Roman" w:cs="Times New Roman"/>
          <w:noProof/>
        </w:rPr>
        <w:t xml:space="preserve">, </w:t>
      </w:r>
      <w:r w:rsidRPr="004D44D2">
        <w:rPr>
          <w:rFonts w:ascii="Times New Roman" w:hAnsi="Times New Roman" w:cs="Times New Roman"/>
          <w:i/>
          <w:iCs/>
          <w:noProof/>
        </w:rPr>
        <w:t>11</w:t>
      </w:r>
      <w:r w:rsidRPr="004D44D2">
        <w:rPr>
          <w:rFonts w:ascii="Times New Roman" w:hAnsi="Times New Roman" w:cs="Times New Roman"/>
          <w:noProof/>
        </w:rPr>
        <w:t>(1), 33–41.</w:t>
      </w:r>
    </w:p>
    <w:p w14:paraId="1FDD0AAF"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Siregar, M. (2020). </w:t>
      </w:r>
      <w:r w:rsidRPr="004D44D2">
        <w:rPr>
          <w:rFonts w:ascii="Times New Roman" w:hAnsi="Times New Roman" w:cs="Times New Roman"/>
          <w:i/>
          <w:iCs/>
          <w:noProof/>
        </w:rPr>
        <w:t>Asuhan keperawatan gangguan sistem perkemihan.</w:t>
      </w:r>
      <w:r w:rsidRPr="004D44D2">
        <w:rPr>
          <w:rFonts w:ascii="Times New Roman" w:hAnsi="Times New Roman" w:cs="Times New Roman"/>
          <w:noProof/>
        </w:rPr>
        <w:t xml:space="preserve"> CV. Trans Info Media.</w:t>
      </w:r>
    </w:p>
    <w:p w14:paraId="7DEFAF6A"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Sudjana, N. (2001). </w:t>
      </w:r>
      <w:r w:rsidRPr="004D44D2">
        <w:rPr>
          <w:rFonts w:ascii="Times New Roman" w:hAnsi="Times New Roman" w:cs="Times New Roman"/>
          <w:i/>
          <w:iCs/>
          <w:noProof/>
        </w:rPr>
        <w:t>Metoda Statistika (6 ed.).</w:t>
      </w:r>
    </w:p>
    <w:p w14:paraId="6F297F86"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Sugiyono. (2018). </w:t>
      </w:r>
      <w:r w:rsidRPr="004D44D2">
        <w:rPr>
          <w:rFonts w:ascii="Times New Roman" w:hAnsi="Times New Roman" w:cs="Times New Roman"/>
          <w:i/>
          <w:iCs/>
          <w:noProof/>
        </w:rPr>
        <w:t>Metode Penelitian Kuantitatif, Kualitatif, dan R&amp;D. Bandung: CV Alfabeta.</w:t>
      </w:r>
      <w:r w:rsidRPr="004D44D2">
        <w:rPr>
          <w:rFonts w:ascii="Times New Roman" w:hAnsi="Times New Roman" w:cs="Times New Roman"/>
          <w:noProof/>
        </w:rPr>
        <w:t xml:space="preserve"> Alfabeta.</w:t>
      </w:r>
    </w:p>
    <w:p w14:paraId="260E2800"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Susantri, W., Bayhakki, &amp; Rismadefi, W. (2022). </w:t>
      </w:r>
      <w:r w:rsidRPr="004D44D2">
        <w:rPr>
          <w:rFonts w:ascii="Times New Roman" w:hAnsi="Times New Roman" w:cs="Times New Roman"/>
          <w:i/>
          <w:iCs/>
          <w:noProof/>
        </w:rPr>
        <w:t>Hubungan kepatuhan menjalani terapi hemodialisa dengan kualitas hidup pasien penyakit gagal ginjal kronis di masa pandemi Covid-19. Pekanbaru: Universitas Riau.</w:t>
      </w:r>
    </w:p>
    <w:p w14:paraId="08214645"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Susantri, W., Handayani, D., &amp; Fitria, N. (2022). Hubungan tingkat kepatuhan dengan kualitas hidup pasien gagal ginjal kronik yang menjalani hemodialisa. </w:t>
      </w:r>
      <w:r w:rsidRPr="004D44D2">
        <w:rPr>
          <w:rFonts w:ascii="Times New Roman" w:hAnsi="Times New Roman" w:cs="Times New Roman"/>
          <w:i/>
          <w:iCs/>
          <w:noProof/>
        </w:rPr>
        <w:t>Jurnal Kesehatan Prima</w:t>
      </w:r>
      <w:r w:rsidRPr="004D44D2">
        <w:rPr>
          <w:rFonts w:ascii="Times New Roman" w:hAnsi="Times New Roman" w:cs="Times New Roman"/>
          <w:noProof/>
        </w:rPr>
        <w:t xml:space="preserve">, </w:t>
      </w:r>
      <w:r w:rsidRPr="004D44D2">
        <w:rPr>
          <w:rFonts w:ascii="Times New Roman" w:hAnsi="Times New Roman" w:cs="Times New Roman"/>
          <w:i/>
          <w:iCs/>
          <w:noProof/>
        </w:rPr>
        <w:t>16</w:t>
      </w:r>
      <w:r w:rsidRPr="004D44D2">
        <w:rPr>
          <w:rFonts w:ascii="Times New Roman" w:hAnsi="Times New Roman" w:cs="Times New Roman"/>
          <w:noProof/>
        </w:rPr>
        <w:t>(2), 65–72.</w:t>
      </w:r>
    </w:p>
    <w:p w14:paraId="7F91765E"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Swarjana, M. (2021). </w:t>
      </w:r>
      <w:r w:rsidRPr="004D44D2">
        <w:rPr>
          <w:rFonts w:ascii="Times New Roman" w:hAnsi="Times New Roman" w:cs="Times New Roman"/>
          <w:i/>
          <w:iCs/>
          <w:noProof/>
        </w:rPr>
        <w:t>Metodologi Penelitian Kesehatan</w:t>
      </w:r>
      <w:r w:rsidRPr="004D44D2">
        <w:rPr>
          <w:rFonts w:ascii="Times New Roman" w:hAnsi="Times New Roman" w:cs="Times New Roman"/>
          <w:noProof/>
        </w:rPr>
        <w:t>.</w:t>
      </w:r>
    </w:p>
    <w:p w14:paraId="0A76E1EC"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WHO. (n.d.). Global health estimates 2020: Deaths by cause, age, sex, by country and by region, 2000–2019. Geneva: WHO. Retrieved from https://www.who.int/data/gho/data/themes/mortality-and-global-health-estimates. </w:t>
      </w:r>
      <w:r w:rsidRPr="004D44D2">
        <w:rPr>
          <w:rFonts w:ascii="Times New Roman" w:hAnsi="Times New Roman" w:cs="Times New Roman"/>
          <w:i/>
          <w:iCs/>
          <w:noProof/>
        </w:rPr>
        <w:t>2021</w:t>
      </w:r>
      <w:r w:rsidRPr="004D44D2">
        <w:rPr>
          <w:rFonts w:ascii="Times New Roman" w:hAnsi="Times New Roman" w:cs="Times New Roman"/>
          <w:noProof/>
        </w:rPr>
        <w:t>.</w:t>
      </w:r>
    </w:p>
    <w:p w14:paraId="0DC5D242" w14:textId="77777777" w:rsidR="002C5E8F" w:rsidRPr="004D44D2" w:rsidRDefault="002C5E8F" w:rsidP="002C5E8F">
      <w:pPr>
        <w:adjustRightInd w:val="0"/>
        <w:spacing w:after="200"/>
        <w:ind w:left="567" w:hanging="567"/>
        <w:jc w:val="both"/>
        <w:rPr>
          <w:rFonts w:ascii="Times New Roman" w:hAnsi="Times New Roman" w:cs="Times New Roman"/>
          <w:noProof/>
        </w:rPr>
      </w:pPr>
      <w:r w:rsidRPr="004D44D2">
        <w:rPr>
          <w:rFonts w:ascii="Times New Roman" w:hAnsi="Times New Roman" w:cs="Times New Roman"/>
          <w:noProof/>
        </w:rPr>
        <w:t xml:space="preserve">Word Health Organization, (WHO) World Health. (2019). </w:t>
      </w:r>
      <w:r w:rsidRPr="004D44D2">
        <w:rPr>
          <w:rFonts w:ascii="Times New Roman" w:hAnsi="Times New Roman" w:cs="Times New Roman"/>
          <w:i/>
          <w:iCs/>
          <w:noProof/>
        </w:rPr>
        <w:t>Chronic kidney disease: Key facts. Geneva: WHO. Retrieved from https://www.who.int/news-room/fact-sheets/detail/kidney-disease</w:t>
      </w:r>
      <w:r w:rsidRPr="004D44D2">
        <w:rPr>
          <w:rFonts w:ascii="Times New Roman" w:hAnsi="Times New Roman" w:cs="Times New Roman"/>
          <w:noProof/>
        </w:rPr>
        <w:t>.</w:t>
      </w:r>
    </w:p>
    <w:p w14:paraId="791FF84D" w14:textId="77777777" w:rsidR="002C5E8F" w:rsidRPr="004D44D2" w:rsidRDefault="002C5E8F" w:rsidP="002C5E8F">
      <w:pPr>
        <w:adjustRightInd w:val="0"/>
        <w:spacing w:after="200"/>
        <w:ind w:left="567" w:hanging="567"/>
        <w:jc w:val="both"/>
        <w:rPr>
          <w:rFonts w:ascii="Times New Roman" w:hAnsi="Times New Roman" w:cs="Times New Roman"/>
        </w:rPr>
      </w:pPr>
      <w:r w:rsidRPr="004D44D2">
        <w:rPr>
          <w:rFonts w:ascii="Times New Roman" w:hAnsi="Times New Roman" w:cs="Times New Roman"/>
          <w:noProof/>
        </w:rPr>
        <w:t xml:space="preserve">Yuni Asih, P., Lestari, S., &amp; Wahyuni, R. (2022). Pengaruh hemodialisa terhadap kualitas hidup pasien gagal ginjal kronik. </w:t>
      </w:r>
      <w:r w:rsidRPr="004D44D2">
        <w:rPr>
          <w:rFonts w:ascii="Times New Roman" w:hAnsi="Times New Roman" w:cs="Times New Roman"/>
          <w:i/>
          <w:iCs/>
          <w:noProof/>
        </w:rPr>
        <w:t>Jurnal Kesehatan Prima</w:t>
      </w:r>
      <w:r w:rsidRPr="004D44D2">
        <w:rPr>
          <w:rFonts w:ascii="Times New Roman" w:hAnsi="Times New Roman" w:cs="Times New Roman"/>
          <w:noProof/>
        </w:rPr>
        <w:t xml:space="preserve">, </w:t>
      </w:r>
      <w:r w:rsidRPr="004D44D2">
        <w:rPr>
          <w:rFonts w:ascii="Times New Roman" w:hAnsi="Times New Roman" w:cs="Times New Roman"/>
          <w:i/>
          <w:iCs/>
          <w:noProof/>
        </w:rPr>
        <w:t>16</w:t>
      </w:r>
      <w:r w:rsidRPr="004D44D2">
        <w:rPr>
          <w:rFonts w:ascii="Times New Roman" w:hAnsi="Times New Roman" w:cs="Times New Roman"/>
          <w:noProof/>
        </w:rPr>
        <w:t>(1), 45–52.</w:t>
      </w:r>
      <w:r w:rsidRPr="004D44D2">
        <w:rPr>
          <w:rFonts w:ascii="Times New Roman" w:hAnsi="Times New Roman" w:cs="Times New Roman"/>
          <w:b/>
          <w:bCs/>
        </w:rPr>
        <w:fldChar w:fldCharType="end"/>
      </w:r>
    </w:p>
    <w:p w14:paraId="4CE76317" w14:textId="77777777" w:rsidR="002C5E8F" w:rsidRPr="004D44D2" w:rsidRDefault="002C5E8F" w:rsidP="002C5E8F">
      <w:pPr>
        <w:jc w:val="center"/>
        <w:rPr>
          <w:rFonts w:ascii="Times New Roman" w:hAnsi="Times New Roman" w:cs="Times New Roman"/>
          <w:bCs/>
        </w:rPr>
      </w:pPr>
    </w:p>
    <w:p w14:paraId="1D326DC4" w14:textId="4B33A892" w:rsidR="009C723F" w:rsidRPr="004D44D2" w:rsidRDefault="009C723F" w:rsidP="009C723F">
      <w:pPr>
        <w:jc w:val="both"/>
        <w:rPr>
          <w:rFonts w:ascii="Times New Roman" w:hAnsi="Times New Roman" w:cs="Times New Roman"/>
          <w:b/>
        </w:rPr>
      </w:pPr>
    </w:p>
    <w:sectPr w:rsidR="009C723F" w:rsidRPr="004D44D2" w:rsidSect="002329DC">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CEE"/>
    <w:multiLevelType w:val="hybridMultilevel"/>
    <w:tmpl w:val="FB34C178"/>
    <w:lvl w:ilvl="0" w:tplc="8662DA1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B1014D4"/>
    <w:multiLevelType w:val="hybridMultilevel"/>
    <w:tmpl w:val="AE244D7A"/>
    <w:lvl w:ilvl="0" w:tplc="B26EBB5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2CD2220C"/>
    <w:multiLevelType w:val="hybridMultilevel"/>
    <w:tmpl w:val="DB000F52"/>
    <w:lvl w:ilvl="0" w:tplc="CFEC31B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2D5B2602"/>
    <w:multiLevelType w:val="hybridMultilevel"/>
    <w:tmpl w:val="CED8C218"/>
    <w:lvl w:ilvl="0" w:tplc="6938FAD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ED53B20"/>
    <w:multiLevelType w:val="hybridMultilevel"/>
    <w:tmpl w:val="D332AB20"/>
    <w:lvl w:ilvl="0" w:tplc="ED1026C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49E93980"/>
    <w:multiLevelType w:val="hybridMultilevel"/>
    <w:tmpl w:val="ED9C0C32"/>
    <w:lvl w:ilvl="0" w:tplc="8B5CBE9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70D32C14"/>
    <w:multiLevelType w:val="hybridMultilevel"/>
    <w:tmpl w:val="87A2CB38"/>
    <w:lvl w:ilvl="0" w:tplc="2208E47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3"/>
  </w:num>
  <w:num w:numId="2">
    <w:abstractNumId w:val="4"/>
  </w:num>
  <w:num w:numId="3">
    <w:abstractNumId w:val="0"/>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E2"/>
    <w:rsid w:val="00090A70"/>
    <w:rsid w:val="000E4E61"/>
    <w:rsid w:val="00142B75"/>
    <w:rsid w:val="002329DC"/>
    <w:rsid w:val="00254319"/>
    <w:rsid w:val="002C5E8F"/>
    <w:rsid w:val="00302F6E"/>
    <w:rsid w:val="00307102"/>
    <w:rsid w:val="00325339"/>
    <w:rsid w:val="004150FE"/>
    <w:rsid w:val="00432072"/>
    <w:rsid w:val="00495073"/>
    <w:rsid w:val="004A5F3B"/>
    <w:rsid w:val="004D44D2"/>
    <w:rsid w:val="00527DE4"/>
    <w:rsid w:val="0054149D"/>
    <w:rsid w:val="005A5886"/>
    <w:rsid w:val="00601C80"/>
    <w:rsid w:val="00613CC8"/>
    <w:rsid w:val="00662D64"/>
    <w:rsid w:val="006B518D"/>
    <w:rsid w:val="00762AF1"/>
    <w:rsid w:val="00797721"/>
    <w:rsid w:val="007A7B96"/>
    <w:rsid w:val="007C270E"/>
    <w:rsid w:val="0083596A"/>
    <w:rsid w:val="00840A77"/>
    <w:rsid w:val="00860849"/>
    <w:rsid w:val="008D5A24"/>
    <w:rsid w:val="00992062"/>
    <w:rsid w:val="009C723F"/>
    <w:rsid w:val="00A43AF9"/>
    <w:rsid w:val="00B62D91"/>
    <w:rsid w:val="00C92917"/>
    <w:rsid w:val="00CB06D9"/>
    <w:rsid w:val="00D229E2"/>
    <w:rsid w:val="00D3084B"/>
    <w:rsid w:val="00DC3006"/>
    <w:rsid w:val="00DE52A1"/>
    <w:rsid w:val="00E4693F"/>
    <w:rsid w:val="00E9671E"/>
    <w:rsid w:val="00F20267"/>
    <w:rsid w:val="00F335A1"/>
    <w:rsid w:val="00F553DB"/>
    <w:rsid w:val="00FB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E5F72"/>
  <w15:chartTrackingRefBased/>
  <w15:docId w15:val="{EF76210A-9A51-4820-BB83-A94595B3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9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29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29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29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29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2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9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29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29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29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29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2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9E2"/>
    <w:rPr>
      <w:rFonts w:eastAsiaTheme="majorEastAsia" w:cstheme="majorBidi"/>
      <w:color w:val="272727" w:themeColor="text1" w:themeTint="D8"/>
    </w:rPr>
  </w:style>
  <w:style w:type="paragraph" w:styleId="Title">
    <w:name w:val="Title"/>
    <w:basedOn w:val="Normal"/>
    <w:next w:val="Normal"/>
    <w:link w:val="TitleChar"/>
    <w:uiPriority w:val="10"/>
    <w:qFormat/>
    <w:rsid w:val="00D22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9E2"/>
    <w:pPr>
      <w:spacing w:before="160"/>
      <w:jc w:val="center"/>
    </w:pPr>
    <w:rPr>
      <w:i/>
      <w:iCs/>
      <w:color w:val="404040" w:themeColor="text1" w:themeTint="BF"/>
    </w:rPr>
  </w:style>
  <w:style w:type="character" w:customStyle="1" w:styleId="QuoteChar">
    <w:name w:val="Quote Char"/>
    <w:basedOn w:val="DefaultParagraphFont"/>
    <w:link w:val="Quote"/>
    <w:uiPriority w:val="29"/>
    <w:rsid w:val="00D229E2"/>
    <w:rPr>
      <w:i/>
      <w:iCs/>
      <w:color w:val="404040" w:themeColor="text1" w:themeTint="BF"/>
    </w:rPr>
  </w:style>
  <w:style w:type="paragraph" w:styleId="ListParagraph">
    <w:name w:val="List Paragraph"/>
    <w:basedOn w:val="Normal"/>
    <w:uiPriority w:val="34"/>
    <w:qFormat/>
    <w:rsid w:val="00D229E2"/>
    <w:pPr>
      <w:ind w:left="720"/>
      <w:contextualSpacing/>
    </w:pPr>
  </w:style>
  <w:style w:type="character" w:styleId="IntenseEmphasis">
    <w:name w:val="Intense Emphasis"/>
    <w:basedOn w:val="DefaultParagraphFont"/>
    <w:uiPriority w:val="21"/>
    <w:qFormat/>
    <w:rsid w:val="00D229E2"/>
    <w:rPr>
      <w:i/>
      <w:iCs/>
      <w:color w:val="2F5496" w:themeColor="accent1" w:themeShade="BF"/>
    </w:rPr>
  </w:style>
  <w:style w:type="paragraph" w:styleId="IntenseQuote">
    <w:name w:val="Intense Quote"/>
    <w:basedOn w:val="Normal"/>
    <w:next w:val="Normal"/>
    <w:link w:val="IntenseQuoteChar"/>
    <w:uiPriority w:val="30"/>
    <w:qFormat/>
    <w:rsid w:val="00D22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29E2"/>
    <w:rPr>
      <w:i/>
      <w:iCs/>
      <w:color w:val="2F5496" w:themeColor="accent1" w:themeShade="BF"/>
    </w:rPr>
  </w:style>
  <w:style w:type="character" w:styleId="IntenseReference">
    <w:name w:val="Intense Reference"/>
    <w:basedOn w:val="DefaultParagraphFont"/>
    <w:uiPriority w:val="32"/>
    <w:qFormat/>
    <w:rsid w:val="00D229E2"/>
    <w:rPr>
      <w:b/>
      <w:bCs/>
      <w:smallCaps/>
      <w:color w:val="2F5496" w:themeColor="accent1" w:themeShade="BF"/>
      <w:spacing w:val="5"/>
    </w:rPr>
  </w:style>
  <w:style w:type="character" w:styleId="Hyperlink">
    <w:name w:val="Hyperlink"/>
    <w:basedOn w:val="DefaultParagraphFont"/>
    <w:uiPriority w:val="99"/>
    <w:unhideWhenUsed/>
    <w:rsid w:val="009C723F"/>
    <w:rPr>
      <w:color w:val="0563C1" w:themeColor="hyperlink"/>
      <w:u w:val="single"/>
    </w:rPr>
  </w:style>
  <w:style w:type="character" w:styleId="UnresolvedMention">
    <w:name w:val="Unresolved Mention"/>
    <w:basedOn w:val="DefaultParagraphFont"/>
    <w:uiPriority w:val="99"/>
    <w:semiHidden/>
    <w:unhideWhenUsed/>
    <w:rsid w:val="009C723F"/>
    <w:rPr>
      <w:color w:val="605E5C"/>
      <w:shd w:val="clear" w:color="auto" w:fill="E1DFDD"/>
    </w:rPr>
  </w:style>
  <w:style w:type="paragraph" w:styleId="BodyText">
    <w:name w:val="Body Text"/>
    <w:basedOn w:val="Normal"/>
    <w:link w:val="BodyTextChar"/>
    <w:uiPriority w:val="1"/>
    <w:qFormat/>
    <w:rsid w:val="00307102"/>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307102"/>
    <w:rPr>
      <w:rFonts w:ascii="Times New Roman" w:eastAsia="Times New Roman" w:hAnsi="Times New Roman" w:cs="Times New Roman"/>
      <w:kern w:val="0"/>
      <w:lang w:val="id"/>
      <w14:ligatures w14:val="none"/>
    </w:rPr>
  </w:style>
  <w:style w:type="table" w:styleId="TableGrid">
    <w:name w:val="Table Grid"/>
    <w:basedOn w:val="TableNormal"/>
    <w:uiPriority w:val="39"/>
    <w:rsid w:val="00DE5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967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16437">
      <w:bodyDiv w:val="1"/>
      <w:marLeft w:val="0"/>
      <w:marRight w:val="0"/>
      <w:marTop w:val="0"/>
      <w:marBottom w:val="0"/>
      <w:divBdr>
        <w:top w:val="none" w:sz="0" w:space="0" w:color="auto"/>
        <w:left w:val="none" w:sz="0" w:space="0" w:color="auto"/>
        <w:bottom w:val="none" w:sz="0" w:space="0" w:color="auto"/>
        <w:right w:val="none" w:sz="0" w:space="0" w:color="auto"/>
      </w:divBdr>
    </w:div>
    <w:div w:id="5420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ilinurazizah5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3150</Words>
  <Characters>17957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Klitac Network</cp:lastModifiedBy>
  <cp:revision>4</cp:revision>
  <cp:lastPrinted>2025-09-22T12:59:00Z</cp:lastPrinted>
  <dcterms:created xsi:type="dcterms:W3CDTF">2025-09-22T12:32:00Z</dcterms:created>
  <dcterms:modified xsi:type="dcterms:W3CDTF">2025-09-23T03:31:00Z</dcterms:modified>
</cp:coreProperties>
</file>